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drawings/drawing3.xml" ContentType="application/vnd.openxmlformats-officedocument.drawingml.chartshape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drawings/drawing5.xml" ContentType="application/vnd.openxmlformats-officedocument.drawingml.chartshapes+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8.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drawings/drawing9.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0.xml" ContentType="application/vnd.openxmlformats-officedocument.drawingml.chartshapes+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64662" w14:textId="77777777" w:rsidR="00046060" w:rsidRDefault="00046060">
      <w:pPr>
        <w:pStyle w:val="Sinespaciado"/>
        <w:rPr>
          <w:rFonts w:ascii="Times New Roman" w:eastAsiaTheme="minorEastAsia" w:hAnsi="Times New Roman" w:cs="Times New Roman"/>
          <w:sz w:val="2"/>
          <w:szCs w:val="24"/>
          <w:lang w:val="es-ES_tradnl" w:eastAsia="es-ES"/>
        </w:rPr>
      </w:pPr>
      <w:r>
        <w:rPr>
          <w:rFonts w:ascii="Times New Roman" w:eastAsiaTheme="minorEastAsia" w:hAnsi="Times New Roman" w:cs="Times New Roman"/>
          <w:sz w:val="2"/>
          <w:szCs w:val="24"/>
          <w:lang w:val="es-ES_tradnl" w:eastAsia="es-ES"/>
        </w:rPr>
        <w:tab/>
      </w:r>
    </w:p>
    <w:sdt>
      <w:sdtPr>
        <w:rPr>
          <w:rFonts w:ascii="Times New Roman" w:eastAsiaTheme="minorEastAsia" w:hAnsi="Times New Roman" w:cs="Times New Roman"/>
          <w:sz w:val="2"/>
          <w:szCs w:val="24"/>
          <w:lang w:val="es-ES_tradnl" w:eastAsia="es-ES"/>
        </w:rPr>
        <w:id w:val="-1951234547"/>
        <w:docPartObj>
          <w:docPartGallery w:val="Cover Pages"/>
          <w:docPartUnique/>
        </w:docPartObj>
      </w:sdtPr>
      <w:sdtEndPr>
        <w:rPr>
          <w:rFonts w:eastAsiaTheme="majorEastAsia"/>
          <w:b/>
          <w:bCs/>
          <w:color w:val="FF0000"/>
          <w:sz w:val="22"/>
          <w:szCs w:val="26"/>
          <w:lang w:val="es-GT"/>
        </w:rPr>
      </w:sdtEndPr>
      <w:sdtContent>
        <w:p w14:paraId="4866D187" w14:textId="77777777" w:rsidR="00DB22E2" w:rsidRPr="00FC4688" w:rsidRDefault="009A1471">
          <w:pPr>
            <w:pStyle w:val="Sinespaciado"/>
            <w:rPr>
              <w:rFonts w:ascii="Times New Roman" w:hAnsi="Times New Roman" w:cs="Times New Roman"/>
              <w:sz w:val="2"/>
            </w:rPr>
          </w:pPr>
          <w:r w:rsidRPr="00FC4688">
            <w:rPr>
              <w:rFonts w:ascii="Times New Roman" w:hAnsi="Times New Roman" w:cs="Times New Roman"/>
              <w:noProof/>
              <w:lang w:eastAsia="es-GT"/>
            </w:rPr>
            <mc:AlternateContent>
              <mc:Choice Requires="wps">
                <w:drawing>
                  <wp:anchor distT="0" distB="0" distL="114300" distR="114300" simplePos="0" relativeHeight="251658242" behindDoc="0" locked="0" layoutInCell="1" allowOverlap="1" wp14:anchorId="49730031" wp14:editId="630EEAF4">
                    <wp:simplePos x="0" y="0"/>
                    <wp:positionH relativeFrom="page">
                      <wp:align>center</wp:align>
                    </wp:positionH>
                    <wp:positionV relativeFrom="margin">
                      <wp:align>top</wp:align>
                    </wp:positionV>
                    <wp:extent cx="5943600" cy="2344615"/>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5943600" cy="2344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s="Times New Roman"/>
                                    <w:caps/>
                                    <w:color w:val="1F497D" w:themeColor="text2"/>
                                    <w:sz w:val="64"/>
                                    <w:szCs w:val="64"/>
                                  </w:rPr>
                                  <w:alias w:val="Título"/>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4EA9183D" w14:textId="77777777" w:rsidR="000A5B5B" w:rsidRPr="00445193" w:rsidRDefault="000A5B5B">
                                    <w:pPr>
                                      <w:pStyle w:val="Sinespaciado"/>
                                      <w:rPr>
                                        <w:rFonts w:asciiTheme="majorHAnsi" w:eastAsiaTheme="majorEastAsia" w:hAnsiTheme="majorHAnsi" w:cstheme="majorBidi"/>
                                        <w:caps/>
                                        <w:color w:val="1F497D" w:themeColor="text2"/>
                                        <w:sz w:val="68"/>
                                        <w:szCs w:val="68"/>
                                      </w:rPr>
                                    </w:pPr>
                                    <w:r w:rsidRPr="00BF230D">
                                      <w:rPr>
                                        <w:rFonts w:ascii="Times New Roman" w:eastAsiaTheme="majorEastAsia" w:hAnsi="Times New Roman" w:cs="Times New Roman"/>
                                        <w:caps/>
                                        <w:color w:val="1F497D" w:themeColor="text2"/>
                                        <w:sz w:val="64"/>
                                        <w:szCs w:val="64"/>
                                      </w:rPr>
                                      <w:t>Informe de las Finanz</w:t>
                                    </w:r>
                                    <w:r>
                                      <w:rPr>
                                        <w:rFonts w:ascii="Times New Roman" w:eastAsiaTheme="majorEastAsia" w:hAnsi="Times New Roman" w:cs="Times New Roman"/>
                                        <w:caps/>
                                        <w:color w:val="1F497D" w:themeColor="text2"/>
                                        <w:sz w:val="64"/>
                                        <w:szCs w:val="64"/>
                                      </w:rPr>
                                      <w:t>A</w:t>
                                    </w:r>
                                    <w:r w:rsidRPr="00BF230D">
                                      <w:rPr>
                                        <w:rFonts w:ascii="Times New Roman" w:eastAsiaTheme="majorEastAsia" w:hAnsi="Times New Roman" w:cs="Times New Roman"/>
                                        <w:caps/>
                                        <w:color w:val="1F497D" w:themeColor="text2"/>
                                        <w:sz w:val="64"/>
                                        <w:szCs w:val="64"/>
                                      </w:rPr>
                                      <w:t>s públicas</w:t>
                                    </w:r>
                                  </w:p>
                                </w:sdtContent>
                              </w:sdt>
                              <w:p w14:paraId="4813C609" w14:textId="0EDF5C06" w:rsidR="000A5B5B" w:rsidRPr="00BF230D" w:rsidRDefault="004627ED">
                                <w:pPr>
                                  <w:pStyle w:val="Sinespaciado"/>
                                  <w:spacing w:before="120"/>
                                  <w:rPr>
                                    <w:rFonts w:ascii="Times New Roman" w:hAnsi="Times New Roman" w:cs="Times New Roman"/>
                                    <w:b/>
                                    <w:bCs/>
                                    <w:i/>
                                    <w:iCs/>
                                    <w:color w:val="4F81BD" w:themeColor="accent1"/>
                                    <w:sz w:val="36"/>
                                    <w:szCs w:val="36"/>
                                  </w:rPr>
                                </w:pPr>
                                <w:sdt>
                                  <w:sdtPr>
                                    <w:rPr>
                                      <w:rFonts w:ascii="Times New Roman" w:hAnsi="Times New Roman" w:cs="Times New Roman"/>
                                      <w:b/>
                                      <w:bCs/>
                                      <w:i/>
                                      <w:iCs/>
                                      <w:color w:val="4F81BD" w:themeColor="accent1"/>
                                      <w:sz w:val="36"/>
                                      <w:szCs w:val="36"/>
                                    </w:rPr>
                                    <w:alias w:val="Subtítulo"/>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A40833">
                                      <w:rPr>
                                        <w:rFonts w:ascii="Times New Roman" w:hAnsi="Times New Roman" w:cs="Times New Roman"/>
                                        <w:b/>
                                        <w:bCs/>
                                        <w:i/>
                                        <w:iCs/>
                                        <w:color w:val="4F81BD" w:themeColor="accent1"/>
                                        <w:sz w:val="36"/>
                                        <w:szCs w:val="36"/>
                                      </w:rPr>
                                      <w:t>Segundo</w:t>
                                    </w:r>
                                    <w:r w:rsidR="005557C8">
                                      <w:rPr>
                                        <w:rFonts w:ascii="Times New Roman" w:hAnsi="Times New Roman" w:cs="Times New Roman"/>
                                        <w:b/>
                                        <w:bCs/>
                                        <w:i/>
                                        <w:iCs/>
                                        <w:color w:val="4F81BD" w:themeColor="accent1"/>
                                        <w:sz w:val="36"/>
                                        <w:szCs w:val="36"/>
                                      </w:rPr>
                                      <w:t xml:space="preserve"> Trimestre</w:t>
                                    </w:r>
                                  </w:sdtContent>
                                </w:sdt>
                                <w:r w:rsidR="000A5B5B" w:rsidRPr="00BF230D">
                                  <w:rPr>
                                    <w:rFonts w:ascii="Times New Roman" w:hAnsi="Times New Roman" w:cs="Times New Roman"/>
                                    <w:b/>
                                    <w:bCs/>
                                    <w:i/>
                                    <w:iCs/>
                                    <w:color w:val="4F81BD" w:themeColor="accent1"/>
                                    <w:sz w:val="36"/>
                                    <w:szCs w:val="36"/>
                                  </w:rPr>
                                  <w:t xml:space="preserve"> 202</w:t>
                                </w:r>
                                <w:r w:rsidR="005557C8">
                                  <w:rPr>
                                    <w:rFonts w:ascii="Times New Roman" w:hAnsi="Times New Roman" w:cs="Times New Roman"/>
                                    <w:b/>
                                    <w:bCs/>
                                    <w:i/>
                                    <w:iCs/>
                                    <w:color w:val="4F81BD" w:themeColor="accent1"/>
                                    <w:sz w:val="36"/>
                                    <w:szCs w:val="36"/>
                                  </w:rPr>
                                  <w:t>3</w:t>
                                </w:r>
                                <w:r w:rsidR="000A5B5B" w:rsidRPr="00BF230D">
                                  <w:rPr>
                                    <w:rFonts w:ascii="Times New Roman" w:hAnsi="Times New Roman" w:cs="Times New Roman"/>
                                    <w:b/>
                                    <w:bCs/>
                                    <w:i/>
                                    <w:iCs/>
                                    <w:lang w:val="es-ES"/>
                                  </w:rPr>
                                  <w:t xml:space="preserve"> </w:t>
                                </w:r>
                              </w:p>
                              <w:p w14:paraId="39A113FF" w14:textId="77777777" w:rsidR="000A5B5B" w:rsidRDefault="000A5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type w14:anchorId="49730031" id="_x0000_t202" coordsize="21600,21600" o:spt="202" path="m,l,21600r21600,l21600,xe">
                    <v:stroke joinstyle="miter"/>
                    <v:path gradientshapeok="t" o:connecttype="rect"/>
                  </v:shapetype>
                  <v:shape id="Cuadro de texto 62" o:spid="_x0000_s1026" type="#_x0000_t202" style="position:absolute;margin-left:0;margin-top:0;width:468pt;height:184.6pt;z-index:251658242;visibility:visible;mso-wrap-style:square;mso-width-percent:765;mso-height-percent:0;mso-wrap-distance-left:9pt;mso-wrap-distance-top:0;mso-wrap-distance-right:9pt;mso-wrap-distance-bottom:0;mso-position-horizontal:center;mso-position-horizontal-relative:page;mso-position-vertical:top;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" filled="f" stroked="f" strokeweight=".5pt">
                    <v:textbox>
                      <w:txbxContent>
                        <w:sdt>
                          <w:sdtPr>
                            <w:rPr>
                              <w:rFonts w:ascii="Times New Roman" w:eastAsiaTheme="majorEastAsia" w:hAnsi="Times New Roman" w:cs="Times New Roman"/>
                              <w:caps/>
                              <w:color w:val="1F497D" w:themeColor="text2"/>
                              <w:sz w:val="64"/>
                              <w:szCs w:val="64"/>
                            </w:rPr>
                            <w:alias w:val="Título"/>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4EA9183D" w14:textId="77777777" w:rsidR="000A5B5B" w:rsidRPr="00445193" w:rsidRDefault="000A5B5B">
                              <w:pPr>
                                <w:pStyle w:val="Sinespaciado"/>
                                <w:rPr>
                                  <w:rFonts w:asciiTheme="majorHAnsi" w:eastAsiaTheme="majorEastAsia" w:hAnsiTheme="majorHAnsi" w:cstheme="majorBidi"/>
                                  <w:caps/>
                                  <w:color w:val="1F497D" w:themeColor="text2"/>
                                  <w:sz w:val="68"/>
                                  <w:szCs w:val="68"/>
                                </w:rPr>
                              </w:pPr>
                              <w:r w:rsidRPr="00BF230D">
                                <w:rPr>
                                  <w:rFonts w:ascii="Times New Roman" w:eastAsiaTheme="majorEastAsia" w:hAnsi="Times New Roman" w:cs="Times New Roman"/>
                                  <w:caps/>
                                  <w:color w:val="1F497D" w:themeColor="text2"/>
                                  <w:sz w:val="64"/>
                                  <w:szCs w:val="64"/>
                                </w:rPr>
                                <w:t>Informe de las Finanz</w:t>
                              </w:r>
                              <w:r>
                                <w:rPr>
                                  <w:rFonts w:ascii="Times New Roman" w:eastAsiaTheme="majorEastAsia" w:hAnsi="Times New Roman" w:cs="Times New Roman"/>
                                  <w:caps/>
                                  <w:color w:val="1F497D" w:themeColor="text2"/>
                                  <w:sz w:val="64"/>
                                  <w:szCs w:val="64"/>
                                </w:rPr>
                                <w:t>A</w:t>
                              </w:r>
                              <w:r w:rsidRPr="00BF230D">
                                <w:rPr>
                                  <w:rFonts w:ascii="Times New Roman" w:eastAsiaTheme="majorEastAsia" w:hAnsi="Times New Roman" w:cs="Times New Roman"/>
                                  <w:caps/>
                                  <w:color w:val="1F497D" w:themeColor="text2"/>
                                  <w:sz w:val="64"/>
                                  <w:szCs w:val="64"/>
                                </w:rPr>
                                <w:t>s públicas</w:t>
                              </w:r>
                            </w:p>
                          </w:sdtContent>
                        </w:sdt>
                        <w:p w14:paraId="4813C609" w14:textId="0EDF5C06" w:rsidR="000A5B5B" w:rsidRPr="00BF230D" w:rsidRDefault="004627ED">
                          <w:pPr>
                            <w:pStyle w:val="Sinespaciado"/>
                            <w:spacing w:before="120"/>
                            <w:rPr>
                              <w:rFonts w:ascii="Times New Roman" w:hAnsi="Times New Roman" w:cs="Times New Roman"/>
                              <w:b/>
                              <w:bCs/>
                              <w:i/>
                              <w:iCs/>
                              <w:color w:val="4F81BD" w:themeColor="accent1"/>
                              <w:sz w:val="36"/>
                              <w:szCs w:val="36"/>
                            </w:rPr>
                          </w:pPr>
                          <w:sdt>
                            <w:sdtPr>
                              <w:rPr>
                                <w:rFonts w:ascii="Times New Roman" w:hAnsi="Times New Roman" w:cs="Times New Roman"/>
                                <w:b/>
                                <w:bCs/>
                                <w:i/>
                                <w:iCs/>
                                <w:color w:val="4F81BD" w:themeColor="accent1"/>
                                <w:sz w:val="36"/>
                                <w:szCs w:val="36"/>
                              </w:rPr>
                              <w:alias w:val="Subtítulo"/>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A40833">
                                <w:rPr>
                                  <w:rFonts w:ascii="Times New Roman" w:hAnsi="Times New Roman" w:cs="Times New Roman"/>
                                  <w:b/>
                                  <w:bCs/>
                                  <w:i/>
                                  <w:iCs/>
                                  <w:color w:val="4F81BD" w:themeColor="accent1"/>
                                  <w:sz w:val="36"/>
                                  <w:szCs w:val="36"/>
                                </w:rPr>
                                <w:t>Segundo</w:t>
                              </w:r>
                              <w:r w:rsidR="005557C8">
                                <w:rPr>
                                  <w:rFonts w:ascii="Times New Roman" w:hAnsi="Times New Roman" w:cs="Times New Roman"/>
                                  <w:b/>
                                  <w:bCs/>
                                  <w:i/>
                                  <w:iCs/>
                                  <w:color w:val="4F81BD" w:themeColor="accent1"/>
                                  <w:sz w:val="36"/>
                                  <w:szCs w:val="36"/>
                                </w:rPr>
                                <w:t xml:space="preserve"> Trimestre</w:t>
                              </w:r>
                            </w:sdtContent>
                          </w:sdt>
                          <w:r w:rsidR="000A5B5B" w:rsidRPr="00BF230D">
                            <w:rPr>
                              <w:rFonts w:ascii="Times New Roman" w:hAnsi="Times New Roman" w:cs="Times New Roman"/>
                              <w:b/>
                              <w:bCs/>
                              <w:i/>
                              <w:iCs/>
                              <w:color w:val="4F81BD" w:themeColor="accent1"/>
                              <w:sz w:val="36"/>
                              <w:szCs w:val="36"/>
                            </w:rPr>
                            <w:t xml:space="preserve"> 202</w:t>
                          </w:r>
                          <w:r w:rsidR="005557C8">
                            <w:rPr>
                              <w:rFonts w:ascii="Times New Roman" w:hAnsi="Times New Roman" w:cs="Times New Roman"/>
                              <w:b/>
                              <w:bCs/>
                              <w:i/>
                              <w:iCs/>
                              <w:color w:val="4F81BD" w:themeColor="accent1"/>
                              <w:sz w:val="36"/>
                              <w:szCs w:val="36"/>
                            </w:rPr>
                            <w:t>3</w:t>
                          </w:r>
                          <w:r w:rsidR="000A5B5B" w:rsidRPr="00BF230D">
                            <w:rPr>
                              <w:rFonts w:ascii="Times New Roman" w:hAnsi="Times New Roman" w:cs="Times New Roman"/>
                              <w:b/>
                              <w:bCs/>
                              <w:i/>
                              <w:iCs/>
                              <w:lang w:val="es-ES"/>
                            </w:rPr>
                            <w:t xml:space="preserve"> </w:t>
                          </w:r>
                        </w:p>
                        <w:p w14:paraId="39A113FF" w14:textId="77777777" w:rsidR="000A5B5B" w:rsidRDefault="000A5B5B"/>
                      </w:txbxContent>
                    </v:textbox>
                    <w10:wrap anchorx="page" anchory="margin"/>
                  </v:shape>
                </w:pict>
              </mc:Fallback>
            </mc:AlternateContent>
          </w:r>
        </w:p>
        <w:p w14:paraId="7388F779" w14:textId="77777777" w:rsidR="00DB22E2" w:rsidRPr="00FC4688" w:rsidRDefault="00DB22E2" w:rsidP="00CD34D6">
          <w:pPr>
            <w:rPr>
              <w:rFonts w:cs="Times New Roman"/>
            </w:rPr>
          </w:pPr>
          <w:r w:rsidRPr="00FC4688">
            <w:rPr>
              <w:rFonts w:cs="Times New Roman"/>
              <w:noProof/>
              <w:color w:val="4F81BD" w:themeColor="accent1"/>
              <w:sz w:val="36"/>
              <w:szCs w:val="36"/>
              <w:lang w:eastAsia="es-GT"/>
            </w:rPr>
            <mc:AlternateContent>
              <mc:Choice Requires="wpg">
                <w:drawing>
                  <wp:anchor distT="0" distB="0" distL="114300" distR="114300" simplePos="0" relativeHeight="251676676" behindDoc="1" locked="0" layoutInCell="1" allowOverlap="1" wp14:anchorId="05D5122E" wp14:editId="065F7D2F">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94369" cy="5696712"/>
                    <wp:effectExtent l="0" t="0" r="0" b="3175"/>
                    <wp:wrapNone/>
                    <wp:docPr id="63" name="Grupo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orma libre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orma libre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orma libre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orma libre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orma libre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7AC176D8" id="Grupo 2" o:spid="_x0000_s1026" style="position:absolute;margin-left:0;margin-top:0;width:432.65pt;height:448.55pt;z-index:-251639804;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">
                    <o:lock v:ext="edit" aspectratio="t"/>
                    <v:shape id="Forma libre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orma libre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orma libre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orma libre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orma libre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sidRPr="00FC4688">
            <w:rPr>
              <w:rFonts w:cs="Times New Roman"/>
              <w:noProof/>
              <w:lang w:eastAsia="es-GT"/>
            </w:rPr>
            <mc:AlternateContent>
              <mc:Choice Requires="wps">
                <w:drawing>
                  <wp:anchor distT="0" distB="0" distL="114300" distR="114300" simplePos="0" relativeHeight="251658240" behindDoc="0" locked="0" layoutInCell="1" allowOverlap="1" wp14:anchorId="2C570617" wp14:editId="7C267477">
                    <wp:simplePos x="0" y="0"/>
                    <wp:positionH relativeFrom="page">
                      <wp:align>center</wp:align>
                    </wp:positionH>
                    <wp:positionV relativeFrom="margin">
                      <wp:align>bottom</wp:align>
                    </wp:positionV>
                    <wp:extent cx="5943600" cy="374904"/>
                    <wp:effectExtent l="0" t="0" r="0" b="2540"/>
                    <wp:wrapNone/>
                    <wp:docPr id="69" name="Cuadro de texto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520B9" w14:textId="77777777" w:rsidR="000A5B5B" w:rsidRPr="00BF230D" w:rsidRDefault="004627ED">
                                <w:pPr>
                                  <w:pStyle w:val="Sinespaciado"/>
                                  <w:jc w:val="right"/>
                                  <w:rPr>
                                    <w:rFonts w:ascii="Times New Roman" w:hAnsi="Times New Roman" w:cs="Times New Roman"/>
                                    <w:color w:val="4F81BD" w:themeColor="accent1"/>
                                    <w:sz w:val="36"/>
                                    <w:szCs w:val="36"/>
                                  </w:rPr>
                                </w:pPr>
                                <w:sdt>
                                  <w:sdtPr>
                                    <w:rPr>
                                      <w:rFonts w:ascii="Times New Roman" w:hAnsi="Times New Roman" w:cs="Times New Roman"/>
                                      <w:color w:val="4F81BD" w:themeColor="accent1"/>
                                      <w:sz w:val="36"/>
                                      <w:szCs w:val="36"/>
                                    </w:rPr>
                                    <w:alias w:val="Escolar"/>
                                    <w:tag w:val="Escolar"/>
                                    <w:id w:val="1850680582"/>
                                    <w:dataBinding w:prefixMappings="xmlns:ns0='http://schemas.openxmlformats.org/officeDocument/2006/extended-properties' " w:xpath="/ns0:Properties[1]/ns0:Company[1]" w:storeItemID="{6668398D-A668-4E3E-A5EB-62B293D839F1}"/>
                                    <w:text/>
                                  </w:sdtPr>
                                  <w:sdtEndPr/>
                                  <w:sdtContent>
                                    <w:r w:rsidR="000A5B5B" w:rsidRPr="00BF230D">
                                      <w:rPr>
                                        <w:rFonts w:ascii="Times New Roman" w:hAnsi="Times New Roman" w:cs="Times New Roman"/>
                                        <w:color w:val="4F81BD" w:themeColor="accent1"/>
                                        <w:sz w:val="36"/>
                                        <w:szCs w:val="36"/>
                                      </w:rPr>
                                      <w:t>Dirección de Análisis y Política Fiscal</w:t>
                                    </w:r>
                                  </w:sdtContent>
                                </w:sdt>
                              </w:p>
                              <w:sdt>
                                <w:sdtPr>
                                  <w:rPr>
                                    <w:rFonts w:ascii="Times New Roman" w:hAnsi="Times New Roman" w:cs="Times New Roman"/>
                                    <w:color w:val="4F81BD" w:themeColor="accent1"/>
                                    <w:sz w:val="36"/>
                                    <w:szCs w:val="36"/>
                                  </w:rPr>
                                  <w:alias w:val="Curso"/>
                                  <w:tag w:val="Curso"/>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07854316" w14:textId="77777777" w:rsidR="000A5B5B" w:rsidRPr="00BF230D" w:rsidRDefault="000A5B5B">
                                    <w:pPr>
                                      <w:pStyle w:val="Sinespaciado"/>
                                      <w:jc w:val="right"/>
                                      <w:rPr>
                                        <w:rFonts w:ascii="Times New Roman" w:hAnsi="Times New Roman" w:cs="Times New Roman"/>
                                        <w:color w:val="4F81BD" w:themeColor="accent1"/>
                                        <w:sz w:val="36"/>
                                        <w:szCs w:val="36"/>
                                      </w:rPr>
                                    </w:pPr>
                                    <w:r w:rsidRPr="00BF230D">
                                      <w:rPr>
                                        <w:rFonts w:ascii="Times New Roman" w:hAnsi="Times New Roman" w:cs="Times New Roman"/>
                                        <w:color w:val="4F81BD" w:themeColor="accent1"/>
                                        <w:sz w:val="36"/>
                                        <w:szCs w:val="36"/>
                                      </w:rPr>
                                      <w:t>Ministerio de Finanzas Públicas</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2C570617" id="Cuadro de texto 69" o:spid="_x0000_s1027" type="#_x0000_t202" style="position:absolute;left:0;text-align:left;margin-left:0;margin-top:0;width:468pt;height:29.5pt;z-index:251658240;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" filled="f" stroked="f" strokeweight=".5pt">
                    <v:textbox style="mso-fit-shape-to-text:t" inset="0,0,0,0">
                      <w:txbxContent>
                        <w:p w14:paraId="4AC520B9" w14:textId="77777777" w:rsidR="000A5B5B" w:rsidRPr="00BF230D" w:rsidRDefault="004627ED">
                          <w:pPr>
                            <w:pStyle w:val="Sinespaciado"/>
                            <w:jc w:val="right"/>
                            <w:rPr>
                              <w:rFonts w:ascii="Times New Roman" w:hAnsi="Times New Roman" w:cs="Times New Roman"/>
                              <w:color w:val="4F81BD" w:themeColor="accent1"/>
                              <w:sz w:val="36"/>
                              <w:szCs w:val="36"/>
                            </w:rPr>
                          </w:pPr>
                          <w:sdt>
                            <w:sdtPr>
                              <w:rPr>
                                <w:rFonts w:ascii="Times New Roman" w:hAnsi="Times New Roman" w:cs="Times New Roman"/>
                                <w:color w:val="4F81BD" w:themeColor="accent1"/>
                                <w:sz w:val="36"/>
                                <w:szCs w:val="36"/>
                              </w:rPr>
                              <w:alias w:val="Escolar"/>
                              <w:tag w:val="Escolar"/>
                              <w:id w:val="1850680582"/>
                              <w:dataBinding w:prefixMappings="xmlns:ns0='http://schemas.openxmlformats.org/officeDocument/2006/extended-properties' " w:xpath="/ns0:Properties[1]/ns0:Company[1]" w:storeItemID="{6668398D-A668-4E3E-A5EB-62B293D839F1}"/>
                              <w:text/>
                            </w:sdtPr>
                            <w:sdtEndPr/>
                            <w:sdtContent>
                              <w:r w:rsidR="000A5B5B" w:rsidRPr="00BF230D">
                                <w:rPr>
                                  <w:rFonts w:ascii="Times New Roman" w:hAnsi="Times New Roman" w:cs="Times New Roman"/>
                                  <w:color w:val="4F81BD" w:themeColor="accent1"/>
                                  <w:sz w:val="36"/>
                                  <w:szCs w:val="36"/>
                                </w:rPr>
                                <w:t>Dirección de Análisis y Política Fiscal</w:t>
                              </w:r>
                            </w:sdtContent>
                          </w:sdt>
                        </w:p>
                        <w:sdt>
                          <w:sdtPr>
                            <w:rPr>
                              <w:rFonts w:ascii="Times New Roman" w:hAnsi="Times New Roman" w:cs="Times New Roman"/>
                              <w:color w:val="4F81BD" w:themeColor="accent1"/>
                              <w:sz w:val="36"/>
                              <w:szCs w:val="36"/>
                            </w:rPr>
                            <w:alias w:val="Curso"/>
                            <w:tag w:val="Curso"/>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07854316" w14:textId="77777777" w:rsidR="000A5B5B" w:rsidRPr="00BF230D" w:rsidRDefault="000A5B5B">
                              <w:pPr>
                                <w:pStyle w:val="Sinespaciado"/>
                                <w:jc w:val="right"/>
                                <w:rPr>
                                  <w:rFonts w:ascii="Times New Roman" w:hAnsi="Times New Roman" w:cs="Times New Roman"/>
                                  <w:color w:val="4F81BD" w:themeColor="accent1"/>
                                  <w:sz w:val="36"/>
                                  <w:szCs w:val="36"/>
                                </w:rPr>
                              </w:pPr>
                              <w:r w:rsidRPr="00BF230D">
                                <w:rPr>
                                  <w:rFonts w:ascii="Times New Roman" w:hAnsi="Times New Roman" w:cs="Times New Roman"/>
                                  <w:color w:val="4F81BD" w:themeColor="accent1"/>
                                  <w:sz w:val="36"/>
                                  <w:szCs w:val="36"/>
                                </w:rPr>
                                <w:t>Ministerio de Finanzas Públicas</w:t>
                              </w:r>
                            </w:p>
                          </w:sdtContent>
                        </w:sdt>
                      </w:txbxContent>
                    </v:textbox>
                    <w10:wrap anchorx="page" anchory="margin"/>
                  </v:shape>
                </w:pict>
              </mc:Fallback>
            </mc:AlternateContent>
          </w:r>
        </w:p>
        <w:p w14:paraId="1E6B495C" w14:textId="669C5AFA" w:rsidR="00DB22E2" w:rsidRPr="00FC4688" w:rsidRDefault="00F015E4" w:rsidP="00CD34D6">
          <w:pPr>
            <w:spacing w:after="200" w:line="276" w:lineRule="auto"/>
            <w:rPr>
              <w:rFonts w:eastAsiaTheme="majorEastAsia" w:cs="Times New Roman"/>
              <w:b/>
              <w:bCs/>
              <w:color w:val="FF0000"/>
              <w:szCs w:val="26"/>
            </w:rPr>
          </w:pPr>
          <w:r w:rsidRPr="00F015E4">
            <w:rPr>
              <w:rFonts w:eastAsiaTheme="majorEastAsia" w:cs="Times New Roman"/>
              <w:b/>
              <w:bCs/>
              <w:noProof/>
              <w:color w:val="FF0000"/>
              <w:szCs w:val="26"/>
            </w:rPr>
            <w:drawing>
              <wp:anchor distT="0" distB="0" distL="114300" distR="114300" simplePos="0" relativeHeight="251657215" behindDoc="0" locked="0" layoutInCell="1" allowOverlap="1" wp14:anchorId="0EAB7DE1" wp14:editId="7E6D130B">
                <wp:simplePos x="0" y="0"/>
                <wp:positionH relativeFrom="margin">
                  <wp:align>center</wp:align>
                </wp:positionH>
                <wp:positionV relativeFrom="paragraph">
                  <wp:posOffset>2479260</wp:posOffset>
                </wp:positionV>
                <wp:extent cx="1677670" cy="1845310"/>
                <wp:effectExtent l="0" t="0" r="0" b="2540"/>
                <wp:wrapSquare wrapText="bothSides"/>
                <wp:docPr id="292517484" name="Imagen 292517484" descr="Logotipo, nombre de la empresa&#10;&#10;Descripción generada automáticamente">
                  <a:extLst xmlns:a="http://schemas.openxmlformats.org/drawingml/2006/main">
                    <a:ext uri="{FF2B5EF4-FFF2-40B4-BE49-F238E27FC236}">
                      <a16:creationId xmlns:a16="http://schemas.microsoft.com/office/drawing/2014/main" id="{B2026591-938B-AFE1-1A8B-110537A1EC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17484" name="Imagen 292517484" descr="Logotipo, nombre de la empresa&#10;&#10;Descripción generada automáticamente">
                          <a:extLst>
                            <a:ext uri="{FF2B5EF4-FFF2-40B4-BE49-F238E27FC236}">
                              <a16:creationId xmlns:a16="http://schemas.microsoft.com/office/drawing/2014/main" id="{B2026591-938B-AFE1-1A8B-110537A1EC5F}"/>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6457" t="14032" r="16881" b="12626"/>
                        <a:stretch/>
                      </pic:blipFill>
                      <pic:spPr bwMode="auto">
                        <a:xfrm>
                          <a:off x="0" y="0"/>
                          <a:ext cx="1677670" cy="1845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22E2" w:rsidRPr="00FC4688">
            <w:rPr>
              <w:rFonts w:eastAsiaTheme="majorEastAsia" w:cs="Times New Roman"/>
              <w:b/>
              <w:bCs/>
              <w:color w:val="FF0000"/>
              <w:szCs w:val="26"/>
            </w:rPr>
            <w:br w:type="page"/>
          </w:r>
        </w:p>
      </w:sdtContent>
    </w:sdt>
    <w:sdt>
      <w:sdtPr>
        <w:rPr>
          <w:rFonts w:ascii="Times New Roman" w:eastAsiaTheme="minorEastAsia" w:hAnsi="Times New Roman" w:cs="Times New Roman"/>
          <w:b w:val="0"/>
          <w:bCs w:val="0"/>
          <w:color w:val="FF0000"/>
          <w:sz w:val="24"/>
          <w:szCs w:val="24"/>
          <w:lang w:val="es-ES" w:eastAsia="es-ES"/>
        </w:rPr>
        <w:id w:val="-1412613934"/>
        <w:docPartObj>
          <w:docPartGallery w:val="Table of Contents"/>
          <w:docPartUnique/>
        </w:docPartObj>
      </w:sdtPr>
      <w:sdtEndPr>
        <w:rPr>
          <w:sz w:val="22"/>
        </w:rPr>
      </w:sdtEndPr>
      <w:sdtContent>
        <w:p w14:paraId="14EA01E7" w14:textId="77777777" w:rsidR="0032588B" w:rsidRPr="00FC4688" w:rsidRDefault="0032588B" w:rsidP="000D58D6">
          <w:pPr>
            <w:pStyle w:val="TtuloTDC"/>
            <w:jc w:val="center"/>
            <w:rPr>
              <w:rFonts w:ascii="Times New Roman" w:hAnsi="Times New Roman" w:cs="Times New Roman"/>
              <w:color w:val="auto"/>
              <w:sz w:val="24"/>
              <w:szCs w:val="24"/>
              <w:lang w:val="es-ES"/>
            </w:rPr>
          </w:pPr>
          <w:r w:rsidRPr="00FC4688">
            <w:rPr>
              <w:rFonts w:ascii="Times New Roman" w:hAnsi="Times New Roman" w:cs="Times New Roman"/>
              <w:color w:val="auto"/>
              <w:sz w:val="24"/>
              <w:szCs w:val="24"/>
              <w:lang w:val="es-ES"/>
            </w:rPr>
            <w:t>Contenido</w:t>
          </w:r>
        </w:p>
        <w:p w14:paraId="7057A639" w14:textId="77777777" w:rsidR="00F3006C" w:rsidRPr="00FC4688" w:rsidRDefault="00F3006C" w:rsidP="00CD34D6">
          <w:pPr>
            <w:spacing w:line="276" w:lineRule="auto"/>
            <w:rPr>
              <w:rFonts w:cs="Times New Roman"/>
              <w:color w:val="FF0000"/>
              <w:lang w:val="es-ES" w:eastAsia="es-GT"/>
            </w:rPr>
          </w:pPr>
        </w:p>
        <w:p w14:paraId="4AD1E79F" w14:textId="2E04311E" w:rsidR="009C7D1A" w:rsidRDefault="0032588B">
          <w:pPr>
            <w:pStyle w:val="TDC1"/>
            <w:rPr>
              <w:rFonts w:asciiTheme="minorHAnsi" w:eastAsiaTheme="minorEastAsia" w:hAnsiTheme="minorHAnsi" w:cstheme="minorBidi"/>
              <w:b w:val="0"/>
              <w:bCs w:val="0"/>
              <w:kern w:val="2"/>
              <w:sz w:val="24"/>
              <w:lang w:eastAsia="es-GT"/>
              <w14:ligatures w14:val="standardContextual"/>
            </w:rPr>
          </w:pPr>
          <w:r w:rsidRPr="00FC4688">
            <w:rPr>
              <w:color w:val="FF0000"/>
              <w:lang w:val="es-ES_tradnl"/>
            </w:rPr>
            <w:fldChar w:fldCharType="begin"/>
          </w:r>
          <w:r w:rsidRPr="00FC4688">
            <w:rPr>
              <w:color w:val="FF0000"/>
            </w:rPr>
            <w:instrText xml:space="preserve"> TOC \o "1-3" \h \z \u </w:instrText>
          </w:r>
          <w:r w:rsidRPr="00FC4688">
            <w:rPr>
              <w:color w:val="FF0000"/>
              <w:lang w:val="es-ES_tradnl"/>
            </w:rPr>
            <w:fldChar w:fldCharType="separate"/>
          </w:r>
          <w:hyperlink w:anchor="_Toc141430917" w:history="1">
            <w:r w:rsidR="009C7D1A" w:rsidRPr="000254C0">
              <w:rPr>
                <w:rStyle w:val="Hipervnculo"/>
                <w:lang w:val="es-ES_tradnl"/>
              </w:rPr>
              <w:t>Introducción</w:t>
            </w:r>
            <w:r w:rsidR="009C7D1A">
              <w:rPr>
                <w:webHidden/>
              </w:rPr>
              <w:tab/>
            </w:r>
            <w:r w:rsidR="009C7D1A">
              <w:rPr>
                <w:webHidden/>
              </w:rPr>
              <w:fldChar w:fldCharType="begin"/>
            </w:r>
            <w:r w:rsidR="009C7D1A">
              <w:rPr>
                <w:webHidden/>
              </w:rPr>
              <w:instrText xml:space="preserve"> PAGEREF _Toc141430917 \h </w:instrText>
            </w:r>
            <w:r w:rsidR="009C7D1A">
              <w:rPr>
                <w:webHidden/>
              </w:rPr>
            </w:r>
            <w:r w:rsidR="009C7D1A">
              <w:rPr>
                <w:webHidden/>
              </w:rPr>
              <w:fldChar w:fldCharType="separate"/>
            </w:r>
            <w:r w:rsidR="00B10B8F">
              <w:rPr>
                <w:webHidden/>
              </w:rPr>
              <w:t>2</w:t>
            </w:r>
            <w:r w:rsidR="009C7D1A">
              <w:rPr>
                <w:webHidden/>
              </w:rPr>
              <w:fldChar w:fldCharType="end"/>
            </w:r>
          </w:hyperlink>
        </w:p>
        <w:p w14:paraId="71AF96F3" w14:textId="2DAE386B" w:rsidR="009C7D1A" w:rsidRDefault="009C7D1A">
          <w:pPr>
            <w:pStyle w:val="TDC1"/>
            <w:rPr>
              <w:rFonts w:asciiTheme="minorHAnsi" w:eastAsiaTheme="minorEastAsia" w:hAnsiTheme="minorHAnsi" w:cstheme="minorBidi"/>
              <w:b w:val="0"/>
              <w:bCs w:val="0"/>
              <w:kern w:val="2"/>
              <w:sz w:val="24"/>
              <w:lang w:eastAsia="es-GT"/>
              <w14:ligatures w14:val="standardContextual"/>
            </w:rPr>
          </w:pPr>
          <w:hyperlink w:anchor="_Toc141430918" w:history="1">
            <w:r w:rsidRPr="000254C0">
              <w:rPr>
                <w:rStyle w:val="Hipervnculo"/>
                <w:lang w:val="es-ES_tradnl"/>
              </w:rPr>
              <w:t>I.</w:t>
            </w:r>
            <w:r>
              <w:rPr>
                <w:rFonts w:asciiTheme="minorHAnsi" w:eastAsiaTheme="minorEastAsia" w:hAnsiTheme="minorHAnsi" w:cstheme="minorBidi"/>
                <w:b w:val="0"/>
                <w:bCs w:val="0"/>
                <w:kern w:val="2"/>
                <w:sz w:val="24"/>
                <w:lang w:eastAsia="es-GT"/>
                <w14:ligatures w14:val="standardContextual"/>
              </w:rPr>
              <w:tab/>
            </w:r>
            <w:r w:rsidRPr="000254C0">
              <w:rPr>
                <w:rStyle w:val="Hipervnculo"/>
                <w:lang w:val="es-ES_tradnl"/>
              </w:rPr>
              <w:t>Ingresos del Gobierno Central Presupuestario</w:t>
            </w:r>
            <w:r>
              <w:rPr>
                <w:webHidden/>
              </w:rPr>
              <w:tab/>
            </w:r>
            <w:r>
              <w:rPr>
                <w:webHidden/>
              </w:rPr>
              <w:fldChar w:fldCharType="begin"/>
            </w:r>
            <w:r>
              <w:rPr>
                <w:webHidden/>
              </w:rPr>
              <w:instrText xml:space="preserve"> PAGEREF _Toc141430918 \h </w:instrText>
            </w:r>
            <w:r>
              <w:rPr>
                <w:webHidden/>
              </w:rPr>
            </w:r>
            <w:r>
              <w:rPr>
                <w:webHidden/>
              </w:rPr>
              <w:fldChar w:fldCharType="separate"/>
            </w:r>
            <w:r w:rsidR="00B10B8F">
              <w:rPr>
                <w:webHidden/>
              </w:rPr>
              <w:t>2</w:t>
            </w:r>
            <w:r>
              <w:rPr>
                <w:webHidden/>
              </w:rPr>
              <w:fldChar w:fldCharType="end"/>
            </w:r>
          </w:hyperlink>
        </w:p>
        <w:p w14:paraId="783EE076" w14:textId="7F9CB498" w:rsidR="009C7D1A" w:rsidRDefault="009C7D1A">
          <w:pPr>
            <w:pStyle w:val="TDC2"/>
            <w:rPr>
              <w:rFonts w:asciiTheme="minorHAnsi" w:hAnsiTheme="minorHAnsi"/>
              <w:noProof/>
              <w:kern w:val="2"/>
              <w:sz w:val="24"/>
              <w:lang w:eastAsia="es-GT"/>
              <w14:ligatures w14:val="standardContextual"/>
            </w:rPr>
          </w:pPr>
          <w:hyperlink w:anchor="_Toc141430919" w:history="1">
            <w:r w:rsidRPr="000254C0">
              <w:rPr>
                <w:rStyle w:val="Hipervnculo"/>
                <w:rFonts w:cs="Times New Roman"/>
                <w:noProof/>
              </w:rPr>
              <w:t>1.1</w:t>
            </w:r>
            <w:r>
              <w:rPr>
                <w:rFonts w:asciiTheme="minorHAnsi" w:hAnsiTheme="minorHAnsi"/>
                <w:noProof/>
                <w:kern w:val="2"/>
                <w:sz w:val="24"/>
                <w:lang w:eastAsia="es-GT"/>
                <w14:ligatures w14:val="standardContextual"/>
              </w:rPr>
              <w:tab/>
            </w:r>
            <w:r w:rsidRPr="000254C0">
              <w:rPr>
                <w:rStyle w:val="Hipervnculo"/>
                <w:rFonts w:cs="Times New Roman"/>
                <w:noProof/>
              </w:rPr>
              <w:t>Desaceleración en los ingresos fiscales</w:t>
            </w:r>
            <w:r>
              <w:rPr>
                <w:noProof/>
                <w:webHidden/>
              </w:rPr>
              <w:tab/>
            </w:r>
            <w:r>
              <w:rPr>
                <w:noProof/>
                <w:webHidden/>
              </w:rPr>
              <w:fldChar w:fldCharType="begin"/>
            </w:r>
            <w:r>
              <w:rPr>
                <w:noProof/>
                <w:webHidden/>
              </w:rPr>
              <w:instrText xml:space="preserve"> PAGEREF _Toc141430919 \h </w:instrText>
            </w:r>
            <w:r>
              <w:rPr>
                <w:noProof/>
                <w:webHidden/>
              </w:rPr>
            </w:r>
            <w:r>
              <w:rPr>
                <w:noProof/>
                <w:webHidden/>
              </w:rPr>
              <w:fldChar w:fldCharType="separate"/>
            </w:r>
            <w:r w:rsidR="00B10B8F">
              <w:rPr>
                <w:noProof/>
                <w:webHidden/>
              </w:rPr>
              <w:t>2</w:t>
            </w:r>
            <w:r>
              <w:rPr>
                <w:noProof/>
                <w:webHidden/>
              </w:rPr>
              <w:fldChar w:fldCharType="end"/>
            </w:r>
          </w:hyperlink>
        </w:p>
        <w:p w14:paraId="1F35F632" w14:textId="72F5DE30" w:rsidR="009C7D1A" w:rsidRDefault="009C7D1A">
          <w:pPr>
            <w:pStyle w:val="TDC2"/>
            <w:rPr>
              <w:rFonts w:asciiTheme="minorHAnsi" w:hAnsiTheme="minorHAnsi"/>
              <w:noProof/>
              <w:kern w:val="2"/>
              <w:sz w:val="24"/>
              <w:lang w:eastAsia="es-GT"/>
              <w14:ligatures w14:val="standardContextual"/>
            </w:rPr>
          </w:pPr>
          <w:hyperlink w:anchor="_Toc141430920" w:history="1">
            <w:r w:rsidRPr="000254C0">
              <w:rPr>
                <w:rStyle w:val="Hipervnculo"/>
                <w:rFonts w:cs="Times New Roman"/>
                <w:noProof/>
              </w:rPr>
              <w:t>1.2</w:t>
            </w:r>
            <w:r>
              <w:rPr>
                <w:rFonts w:asciiTheme="minorHAnsi" w:hAnsiTheme="minorHAnsi"/>
                <w:noProof/>
                <w:kern w:val="2"/>
                <w:sz w:val="24"/>
                <w:lang w:eastAsia="es-GT"/>
                <w14:ligatures w14:val="standardContextual"/>
              </w:rPr>
              <w:tab/>
            </w:r>
            <w:r w:rsidRPr="000254C0">
              <w:rPr>
                <w:rStyle w:val="Hipervnculo"/>
                <w:rFonts w:cs="Times New Roman"/>
                <w:noProof/>
              </w:rPr>
              <w:t>La recaudación continúa creciendo, pero a un menor ritmo</w:t>
            </w:r>
            <w:r>
              <w:rPr>
                <w:noProof/>
                <w:webHidden/>
              </w:rPr>
              <w:tab/>
            </w:r>
            <w:r>
              <w:rPr>
                <w:noProof/>
                <w:webHidden/>
              </w:rPr>
              <w:fldChar w:fldCharType="begin"/>
            </w:r>
            <w:r>
              <w:rPr>
                <w:noProof/>
                <w:webHidden/>
              </w:rPr>
              <w:instrText xml:space="preserve"> PAGEREF _Toc141430920 \h </w:instrText>
            </w:r>
            <w:r>
              <w:rPr>
                <w:noProof/>
                <w:webHidden/>
              </w:rPr>
            </w:r>
            <w:r>
              <w:rPr>
                <w:noProof/>
                <w:webHidden/>
              </w:rPr>
              <w:fldChar w:fldCharType="separate"/>
            </w:r>
            <w:r w:rsidR="00B10B8F">
              <w:rPr>
                <w:noProof/>
                <w:webHidden/>
              </w:rPr>
              <w:t>3</w:t>
            </w:r>
            <w:r>
              <w:rPr>
                <w:noProof/>
                <w:webHidden/>
              </w:rPr>
              <w:fldChar w:fldCharType="end"/>
            </w:r>
          </w:hyperlink>
        </w:p>
        <w:p w14:paraId="7432A238" w14:textId="57234965" w:rsidR="009C7D1A" w:rsidRDefault="009C7D1A">
          <w:pPr>
            <w:pStyle w:val="TDC1"/>
            <w:rPr>
              <w:rFonts w:asciiTheme="minorHAnsi" w:eastAsiaTheme="minorEastAsia" w:hAnsiTheme="minorHAnsi" w:cstheme="minorBidi"/>
              <w:b w:val="0"/>
              <w:bCs w:val="0"/>
              <w:kern w:val="2"/>
              <w:sz w:val="24"/>
              <w:lang w:eastAsia="es-GT"/>
              <w14:ligatures w14:val="standardContextual"/>
            </w:rPr>
          </w:pPr>
          <w:hyperlink w:anchor="_Toc141430924" w:history="1">
            <w:r w:rsidRPr="000254C0">
              <w:rPr>
                <w:rStyle w:val="Hipervnculo"/>
                <w:lang w:val="es-ES_tradnl"/>
              </w:rPr>
              <w:t>II.</w:t>
            </w:r>
            <w:r>
              <w:rPr>
                <w:rFonts w:asciiTheme="minorHAnsi" w:eastAsiaTheme="minorEastAsia" w:hAnsiTheme="minorHAnsi" w:cstheme="minorBidi"/>
                <w:b w:val="0"/>
                <w:bCs w:val="0"/>
                <w:kern w:val="2"/>
                <w:sz w:val="24"/>
                <w:lang w:eastAsia="es-GT"/>
                <w14:ligatures w14:val="standardContextual"/>
              </w:rPr>
              <w:tab/>
            </w:r>
            <w:r w:rsidRPr="000254C0">
              <w:rPr>
                <w:rStyle w:val="Hipervnculo"/>
                <w:lang w:val="es-ES_tradnl"/>
              </w:rPr>
              <w:t>Gasto Público del Gobierno Central Presupuestario</w:t>
            </w:r>
            <w:r>
              <w:rPr>
                <w:webHidden/>
              </w:rPr>
              <w:tab/>
            </w:r>
            <w:r>
              <w:rPr>
                <w:webHidden/>
              </w:rPr>
              <w:fldChar w:fldCharType="begin"/>
            </w:r>
            <w:r>
              <w:rPr>
                <w:webHidden/>
              </w:rPr>
              <w:instrText xml:space="preserve"> PAGEREF _Toc141430924 \h </w:instrText>
            </w:r>
            <w:r>
              <w:rPr>
                <w:webHidden/>
              </w:rPr>
            </w:r>
            <w:r>
              <w:rPr>
                <w:webHidden/>
              </w:rPr>
              <w:fldChar w:fldCharType="separate"/>
            </w:r>
            <w:r w:rsidR="00B10B8F">
              <w:rPr>
                <w:webHidden/>
              </w:rPr>
              <w:t>4</w:t>
            </w:r>
            <w:r>
              <w:rPr>
                <w:webHidden/>
              </w:rPr>
              <w:fldChar w:fldCharType="end"/>
            </w:r>
          </w:hyperlink>
        </w:p>
        <w:p w14:paraId="5586382D" w14:textId="0CA01550" w:rsidR="009C7D1A" w:rsidRDefault="009C7D1A">
          <w:pPr>
            <w:pStyle w:val="TDC2"/>
            <w:rPr>
              <w:rFonts w:asciiTheme="minorHAnsi" w:hAnsiTheme="minorHAnsi"/>
              <w:noProof/>
              <w:kern w:val="2"/>
              <w:sz w:val="24"/>
              <w:lang w:eastAsia="es-GT"/>
              <w14:ligatures w14:val="standardContextual"/>
            </w:rPr>
          </w:pPr>
          <w:hyperlink w:anchor="_Toc141430928" w:history="1">
            <w:r w:rsidRPr="000254C0">
              <w:rPr>
                <w:rStyle w:val="Hipervnculo"/>
                <w:rFonts w:cs="Times New Roman"/>
                <w:noProof/>
                <w:lang w:val="es-ES_tradnl"/>
              </w:rPr>
              <w:t>2.1</w:t>
            </w:r>
            <w:r>
              <w:rPr>
                <w:rFonts w:asciiTheme="minorHAnsi" w:hAnsiTheme="minorHAnsi"/>
                <w:noProof/>
                <w:kern w:val="2"/>
                <w:sz w:val="24"/>
                <w:lang w:eastAsia="es-GT"/>
                <w14:ligatures w14:val="standardContextual"/>
              </w:rPr>
              <w:tab/>
            </w:r>
            <w:r w:rsidRPr="000254C0">
              <w:rPr>
                <w:rStyle w:val="Hipervnculo"/>
                <w:rFonts w:cs="Times New Roman"/>
                <w:noProof/>
              </w:rPr>
              <w:t>Leve desaceleración en el gasto público</w:t>
            </w:r>
            <w:r>
              <w:rPr>
                <w:noProof/>
                <w:webHidden/>
              </w:rPr>
              <w:tab/>
            </w:r>
            <w:r>
              <w:rPr>
                <w:noProof/>
                <w:webHidden/>
              </w:rPr>
              <w:fldChar w:fldCharType="begin"/>
            </w:r>
            <w:r>
              <w:rPr>
                <w:noProof/>
                <w:webHidden/>
              </w:rPr>
              <w:instrText xml:space="preserve"> PAGEREF _Toc141430928 \h </w:instrText>
            </w:r>
            <w:r>
              <w:rPr>
                <w:noProof/>
                <w:webHidden/>
              </w:rPr>
            </w:r>
            <w:r>
              <w:rPr>
                <w:noProof/>
                <w:webHidden/>
              </w:rPr>
              <w:fldChar w:fldCharType="separate"/>
            </w:r>
            <w:r w:rsidR="00B10B8F">
              <w:rPr>
                <w:noProof/>
                <w:webHidden/>
              </w:rPr>
              <w:t>4</w:t>
            </w:r>
            <w:r>
              <w:rPr>
                <w:noProof/>
                <w:webHidden/>
              </w:rPr>
              <w:fldChar w:fldCharType="end"/>
            </w:r>
          </w:hyperlink>
        </w:p>
        <w:p w14:paraId="1925FDAD" w14:textId="6000BD19" w:rsidR="009C7D1A" w:rsidRDefault="009C7D1A">
          <w:pPr>
            <w:pStyle w:val="TDC1"/>
            <w:rPr>
              <w:rFonts w:asciiTheme="minorHAnsi" w:eastAsiaTheme="minorEastAsia" w:hAnsiTheme="minorHAnsi" w:cstheme="minorBidi"/>
              <w:b w:val="0"/>
              <w:bCs w:val="0"/>
              <w:kern w:val="2"/>
              <w:sz w:val="24"/>
              <w:lang w:eastAsia="es-GT"/>
              <w14:ligatures w14:val="standardContextual"/>
            </w:rPr>
          </w:pPr>
          <w:hyperlink w:anchor="_Toc141430929" w:history="1">
            <w:r w:rsidRPr="000254C0">
              <w:rPr>
                <w:rStyle w:val="Hipervnculo"/>
                <w:lang w:val="es-MX"/>
              </w:rPr>
              <w:t>III.</w:t>
            </w:r>
            <w:r>
              <w:rPr>
                <w:rFonts w:asciiTheme="minorHAnsi" w:eastAsiaTheme="minorEastAsia" w:hAnsiTheme="minorHAnsi" w:cstheme="minorBidi"/>
                <w:b w:val="0"/>
                <w:bCs w:val="0"/>
                <w:kern w:val="2"/>
                <w:sz w:val="24"/>
                <w:lang w:eastAsia="es-GT"/>
                <w14:ligatures w14:val="standardContextual"/>
              </w:rPr>
              <w:tab/>
            </w:r>
            <w:r w:rsidRPr="000254C0">
              <w:rPr>
                <w:rStyle w:val="Hipervnculo"/>
                <w:lang w:val="es-MX"/>
              </w:rPr>
              <w:t>Transacciones en Activos No Financieros</w:t>
            </w:r>
            <w:r>
              <w:rPr>
                <w:webHidden/>
              </w:rPr>
              <w:tab/>
            </w:r>
            <w:r>
              <w:rPr>
                <w:webHidden/>
              </w:rPr>
              <w:fldChar w:fldCharType="begin"/>
            </w:r>
            <w:r>
              <w:rPr>
                <w:webHidden/>
              </w:rPr>
              <w:instrText xml:space="preserve"> PAGEREF _Toc141430929 \h </w:instrText>
            </w:r>
            <w:r>
              <w:rPr>
                <w:webHidden/>
              </w:rPr>
            </w:r>
            <w:r>
              <w:rPr>
                <w:webHidden/>
              </w:rPr>
              <w:fldChar w:fldCharType="separate"/>
            </w:r>
            <w:r w:rsidR="00B10B8F">
              <w:rPr>
                <w:webHidden/>
              </w:rPr>
              <w:t>5</w:t>
            </w:r>
            <w:r>
              <w:rPr>
                <w:webHidden/>
              </w:rPr>
              <w:fldChar w:fldCharType="end"/>
            </w:r>
          </w:hyperlink>
        </w:p>
        <w:p w14:paraId="61819BD4" w14:textId="58E729BF" w:rsidR="009C7D1A" w:rsidRDefault="009C7D1A">
          <w:pPr>
            <w:pStyle w:val="TDC2"/>
            <w:rPr>
              <w:rFonts w:asciiTheme="minorHAnsi" w:hAnsiTheme="minorHAnsi"/>
              <w:noProof/>
              <w:kern w:val="2"/>
              <w:sz w:val="24"/>
              <w:lang w:eastAsia="es-GT"/>
              <w14:ligatures w14:val="standardContextual"/>
            </w:rPr>
          </w:pPr>
          <w:hyperlink w:anchor="_Toc141430931" w:history="1">
            <w:r w:rsidRPr="000254C0">
              <w:rPr>
                <w:rStyle w:val="Hipervnculo"/>
                <w:rFonts w:cs="Times New Roman"/>
                <w:noProof/>
              </w:rPr>
              <w:t>3.1</w:t>
            </w:r>
            <w:r>
              <w:rPr>
                <w:rFonts w:asciiTheme="minorHAnsi" w:hAnsiTheme="minorHAnsi"/>
                <w:noProof/>
                <w:kern w:val="2"/>
                <w:sz w:val="24"/>
                <w:lang w:eastAsia="es-GT"/>
                <w14:ligatures w14:val="standardContextual"/>
              </w:rPr>
              <w:tab/>
            </w:r>
            <w:r w:rsidRPr="000254C0">
              <w:rPr>
                <w:rStyle w:val="Hipervnculo"/>
                <w:rFonts w:cs="Times New Roman"/>
                <w:noProof/>
              </w:rPr>
              <w:t>La inversión sigue aumentando</w:t>
            </w:r>
            <w:r>
              <w:rPr>
                <w:noProof/>
                <w:webHidden/>
              </w:rPr>
              <w:tab/>
            </w:r>
            <w:r>
              <w:rPr>
                <w:noProof/>
                <w:webHidden/>
              </w:rPr>
              <w:fldChar w:fldCharType="begin"/>
            </w:r>
            <w:r>
              <w:rPr>
                <w:noProof/>
                <w:webHidden/>
              </w:rPr>
              <w:instrText xml:space="preserve"> PAGEREF _Toc141430931 \h </w:instrText>
            </w:r>
            <w:r>
              <w:rPr>
                <w:noProof/>
                <w:webHidden/>
              </w:rPr>
            </w:r>
            <w:r>
              <w:rPr>
                <w:noProof/>
                <w:webHidden/>
              </w:rPr>
              <w:fldChar w:fldCharType="separate"/>
            </w:r>
            <w:r w:rsidR="00B10B8F">
              <w:rPr>
                <w:noProof/>
                <w:webHidden/>
              </w:rPr>
              <w:t>5</w:t>
            </w:r>
            <w:r>
              <w:rPr>
                <w:noProof/>
                <w:webHidden/>
              </w:rPr>
              <w:fldChar w:fldCharType="end"/>
            </w:r>
          </w:hyperlink>
        </w:p>
        <w:p w14:paraId="444406E1" w14:textId="3005DB8D" w:rsidR="009C7D1A" w:rsidRDefault="009C7D1A">
          <w:pPr>
            <w:pStyle w:val="TDC1"/>
            <w:rPr>
              <w:rFonts w:asciiTheme="minorHAnsi" w:eastAsiaTheme="minorEastAsia" w:hAnsiTheme="minorHAnsi" w:cstheme="minorBidi"/>
              <w:b w:val="0"/>
              <w:bCs w:val="0"/>
              <w:kern w:val="2"/>
              <w:sz w:val="24"/>
              <w:lang w:eastAsia="es-GT"/>
              <w14:ligatures w14:val="standardContextual"/>
            </w:rPr>
          </w:pPr>
          <w:hyperlink w:anchor="_Toc141430932" w:history="1">
            <w:r w:rsidRPr="000254C0">
              <w:rPr>
                <w:rStyle w:val="Hipervnculo"/>
                <w:lang w:val="es-MX"/>
              </w:rPr>
              <w:t>IV.</w:t>
            </w:r>
            <w:r>
              <w:rPr>
                <w:rFonts w:asciiTheme="minorHAnsi" w:eastAsiaTheme="minorEastAsia" w:hAnsiTheme="minorHAnsi" w:cstheme="minorBidi"/>
                <w:b w:val="0"/>
                <w:bCs w:val="0"/>
                <w:kern w:val="2"/>
                <w:sz w:val="24"/>
                <w:lang w:eastAsia="es-GT"/>
                <w14:ligatures w14:val="standardContextual"/>
              </w:rPr>
              <w:tab/>
            </w:r>
            <w:r w:rsidRPr="000254C0">
              <w:rPr>
                <w:rStyle w:val="Hipervnculo"/>
                <w:lang w:val="es-MX"/>
              </w:rPr>
              <w:t>Financiamiento</w:t>
            </w:r>
            <w:r>
              <w:rPr>
                <w:webHidden/>
              </w:rPr>
              <w:tab/>
            </w:r>
            <w:r>
              <w:rPr>
                <w:webHidden/>
              </w:rPr>
              <w:fldChar w:fldCharType="begin"/>
            </w:r>
            <w:r>
              <w:rPr>
                <w:webHidden/>
              </w:rPr>
              <w:instrText xml:space="preserve"> PAGEREF _Toc141430932 \h </w:instrText>
            </w:r>
            <w:r>
              <w:rPr>
                <w:webHidden/>
              </w:rPr>
            </w:r>
            <w:r>
              <w:rPr>
                <w:webHidden/>
              </w:rPr>
              <w:fldChar w:fldCharType="separate"/>
            </w:r>
            <w:r w:rsidR="00B10B8F">
              <w:rPr>
                <w:webHidden/>
              </w:rPr>
              <w:t>6</w:t>
            </w:r>
            <w:r>
              <w:rPr>
                <w:webHidden/>
              </w:rPr>
              <w:fldChar w:fldCharType="end"/>
            </w:r>
          </w:hyperlink>
        </w:p>
        <w:p w14:paraId="00C8D10A" w14:textId="6E1F576A" w:rsidR="009C7D1A" w:rsidRDefault="009C7D1A">
          <w:pPr>
            <w:pStyle w:val="TDC2"/>
            <w:rPr>
              <w:rFonts w:asciiTheme="minorHAnsi" w:hAnsiTheme="minorHAnsi"/>
              <w:noProof/>
              <w:kern w:val="2"/>
              <w:sz w:val="24"/>
              <w:lang w:eastAsia="es-GT"/>
              <w14:ligatures w14:val="standardContextual"/>
            </w:rPr>
          </w:pPr>
          <w:hyperlink w:anchor="_Toc141430934" w:history="1">
            <w:r w:rsidRPr="000254C0">
              <w:rPr>
                <w:rStyle w:val="Hipervnculo"/>
                <w:rFonts w:cs="Times New Roman"/>
                <w:noProof/>
              </w:rPr>
              <w:t>4.1</w:t>
            </w:r>
            <w:r>
              <w:rPr>
                <w:rFonts w:asciiTheme="minorHAnsi" w:hAnsiTheme="minorHAnsi"/>
                <w:noProof/>
                <w:kern w:val="2"/>
                <w:sz w:val="24"/>
                <w:lang w:eastAsia="es-GT"/>
                <w14:ligatures w14:val="standardContextual"/>
              </w:rPr>
              <w:tab/>
            </w:r>
            <w:r w:rsidRPr="000254C0">
              <w:rPr>
                <w:rStyle w:val="Hipervnculo"/>
                <w:rFonts w:cs="Times New Roman"/>
                <w:noProof/>
              </w:rPr>
              <w:t>Leve incremento en los activos financieros</w:t>
            </w:r>
            <w:r>
              <w:rPr>
                <w:noProof/>
                <w:webHidden/>
              </w:rPr>
              <w:tab/>
            </w:r>
            <w:r>
              <w:rPr>
                <w:noProof/>
                <w:webHidden/>
              </w:rPr>
              <w:fldChar w:fldCharType="begin"/>
            </w:r>
            <w:r>
              <w:rPr>
                <w:noProof/>
                <w:webHidden/>
              </w:rPr>
              <w:instrText xml:space="preserve"> PAGEREF _Toc141430934 \h </w:instrText>
            </w:r>
            <w:r>
              <w:rPr>
                <w:noProof/>
                <w:webHidden/>
              </w:rPr>
            </w:r>
            <w:r>
              <w:rPr>
                <w:noProof/>
                <w:webHidden/>
              </w:rPr>
              <w:fldChar w:fldCharType="separate"/>
            </w:r>
            <w:r w:rsidR="00B10B8F">
              <w:rPr>
                <w:noProof/>
                <w:webHidden/>
              </w:rPr>
              <w:t>6</w:t>
            </w:r>
            <w:r>
              <w:rPr>
                <w:noProof/>
                <w:webHidden/>
              </w:rPr>
              <w:fldChar w:fldCharType="end"/>
            </w:r>
          </w:hyperlink>
        </w:p>
        <w:p w14:paraId="3308244E" w14:textId="3CDB30F9" w:rsidR="009C7D1A" w:rsidRDefault="009C7D1A">
          <w:pPr>
            <w:pStyle w:val="TDC2"/>
            <w:rPr>
              <w:rFonts w:asciiTheme="minorHAnsi" w:hAnsiTheme="minorHAnsi"/>
              <w:noProof/>
              <w:kern w:val="2"/>
              <w:sz w:val="24"/>
              <w:lang w:eastAsia="es-GT"/>
              <w14:ligatures w14:val="standardContextual"/>
            </w:rPr>
          </w:pPr>
          <w:hyperlink w:anchor="_Toc141430935" w:history="1">
            <w:r w:rsidRPr="000254C0">
              <w:rPr>
                <w:rStyle w:val="Hipervnculo"/>
                <w:rFonts w:cs="Times New Roman"/>
                <w:noProof/>
              </w:rPr>
              <w:t>4.2</w:t>
            </w:r>
            <w:r>
              <w:rPr>
                <w:rFonts w:asciiTheme="minorHAnsi" w:hAnsiTheme="minorHAnsi"/>
                <w:noProof/>
                <w:kern w:val="2"/>
                <w:sz w:val="24"/>
                <w:lang w:eastAsia="es-GT"/>
                <w14:ligatures w14:val="standardContextual"/>
              </w:rPr>
              <w:tab/>
            </w:r>
            <w:r w:rsidRPr="000254C0">
              <w:rPr>
                <w:rStyle w:val="Hipervnculo"/>
                <w:rFonts w:cs="Times New Roman"/>
                <w:noProof/>
              </w:rPr>
              <w:t>Aumento de los pasivos como fuente de financiamiento</w:t>
            </w:r>
            <w:r>
              <w:rPr>
                <w:noProof/>
                <w:webHidden/>
              </w:rPr>
              <w:tab/>
            </w:r>
            <w:r>
              <w:rPr>
                <w:noProof/>
                <w:webHidden/>
              </w:rPr>
              <w:fldChar w:fldCharType="begin"/>
            </w:r>
            <w:r>
              <w:rPr>
                <w:noProof/>
                <w:webHidden/>
              </w:rPr>
              <w:instrText xml:space="preserve"> PAGEREF _Toc141430935 \h </w:instrText>
            </w:r>
            <w:r>
              <w:rPr>
                <w:noProof/>
                <w:webHidden/>
              </w:rPr>
            </w:r>
            <w:r>
              <w:rPr>
                <w:noProof/>
                <w:webHidden/>
              </w:rPr>
              <w:fldChar w:fldCharType="separate"/>
            </w:r>
            <w:r w:rsidR="00B10B8F">
              <w:rPr>
                <w:noProof/>
                <w:webHidden/>
              </w:rPr>
              <w:t>6</w:t>
            </w:r>
            <w:r>
              <w:rPr>
                <w:noProof/>
                <w:webHidden/>
              </w:rPr>
              <w:fldChar w:fldCharType="end"/>
            </w:r>
          </w:hyperlink>
        </w:p>
        <w:p w14:paraId="5A659C9A" w14:textId="59D6BE9D" w:rsidR="009C7D1A" w:rsidRDefault="009C7D1A">
          <w:pPr>
            <w:pStyle w:val="TDC1"/>
            <w:rPr>
              <w:rFonts w:asciiTheme="minorHAnsi" w:eastAsiaTheme="minorEastAsia" w:hAnsiTheme="minorHAnsi" w:cstheme="minorBidi"/>
              <w:b w:val="0"/>
              <w:bCs w:val="0"/>
              <w:kern w:val="2"/>
              <w:sz w:val="24"/>
              <w:lang w:eastAsia="es-GT"/>
              <w14:ligatures w14:val="standardContextual"/>
            </w:rPr>
          </w:pPr>
          <w:hyperlink w:anchor="_Toc141430936" w:history="1">
            <w:r w:rsidRPr="000254C0">
              <w:rPr>
                <w:rStyle w:val="Hipervnculo"/>
                <w:lang w:val="es-ES_tradnl"/>
              </w:rPr>
              <w:t>V.</w:t>
            </w:r>
            <w:r>
              <w:rPr>
                <w:rFonts w:asciiTheme="minorHAnsi" w:eastAsiaTheme="minorEastAsia" w:hAnsiTheme="minorHAnsi" w:cstheme="minorBidi"/>
                <w:b w:val="0"/>
                <w:bCs w:val="0"/>
                <w:kern w:val="2"/>
                <w:sz w:val="24"/>
                <w:lang w:eastAsia="es-GT"/>
                <w14:ligatures w14:val="standardContextual"/>
              </w:rPr>
              <w:tab/>
            </w:r>
            <w:r w:rsidRPr="000254C0">
              <w:rPr>
                <w:rStyle w:val="Hipervnculo"/>
                <w:lang w:val="es-ES_tradnl"/>
              </w:rPr>
              <w:t>Erogaciones del Gobierno Central Presupuestario</w:t>
            </w:r>
            <w:r>
              <w:rPr>
                <w:webHidden/>
              </w:rPr>
              <w:tab/>
            </w:r>
            <w:r>
              <w:rPr>
                <w:webHidden/>
              </w:rPr>
              <w:fldChar w:fldCharType="begin"/>
            </w:r>
            <w:r>
              <w:rPr>
                <w:webHidden/>
              </w:rPr>
              <w:instrText xml:space="preserve"> PAGEREF _Toc141430936 \h </w:instrText>
            </w:r>
            <w:r>
              <w:rPr>
                <w:webHidden/>
              </w:rPr>
            </w:r>
            <w:r>
              <w:rPr>
                <w:webHidden/>
              </w:rPr>
              <w:fldChar w:fldCharType="separate"/>
            </w:r>
            <w:r w:rsidR="00B10B8F">
              <w:rPr>
                <w:webHidden/>
              </w:rPr>
              <w:t>7</w:t>
            </w:r>
            <w:r>
              <w:rPr>
                <w:webHidden/>
              </w:rPr>
              <w:fldChar w:fldCharType="end"/>
            </w:r>
          </w:hyperlink>
        </w:p>
        <w:p w14:paraId="0735A43E" w14:textId="38129CAC" w:rsidR="009C7D1A" w:rsidRDefault="009C7D1A">
          <w:pPr>
            <w:pStyle w:val="TDC2"/>
            <w:rPr>
              <w:rFonts w:asciiTheme="minorHAnsi" w:hAnsiTheme="minorHAnsi"/>
              <w:noProof/>
              <w:kern w:val="2"/>
              <w:sz w:val="24"/>
              <w:lang w:eastAsia="es-GT"/>
              <w14:ligatures w14:val="standardContextual"/>
            </w:rPr>
          </w:pPr>
          <w:hyperlink w:anchor="_Toc141430943" w:history="1">
            <w:r w:rsidRPr="000254C0">
              <w:rPr>
                <w:rStyle w:val="Hipervnculo"/>
                <w:rFonts w:cs="Times New Roman"/>
                <w:noProof/>
              </w:rPr>
              <w:t>5.1</w:t>
            </w:r>
            <w:r>
              <w:rPr>
                <w:rFonts w:asciiTheme="minorHAnsi" w:hAnsiTheme="minorHAnsi"/>
                <w:noProof/>
                <w:kern w:val="2"/>
                <w:sz w:val="24"/>
                <w:lang w:eastAsia="es-GT"/>
                <w14:ligatures w14:val="standardContextual"/>
              </w:rPr>
              <w:tab/>
            </w:r>
            <w:r w:rsidRPr="000254C0">
              <w:rPr>
                <w:rStyle w:val="Hipervnculo"/>
                <w:rFonts w:cs="Times New Roman"/>
                <w:noProof/>
              </w:rPr>
              <w:t>Las erogaciones en protección social han sido las más dinámicas</w:t>
            </w:r>
            <w:r>
              <w:rPr>
                <w:noProof/>
                <w:webHidden/>
              </w:rPr>
              <w:tab/>
            </w:r>
            <w:r>
              <w:rPr>
                <w:noProof/>
                <w:webHidden/>
              </w:rPr>
              <w:fldChar w:fldCharType="begin"/>
            </w:r>
            <w:r>
              <w:rPr>
                <w:noProof/>
                <w:webHidden/>
              </w:rPr>
              <w:instrText xml:space="preserve"> PAGEREF _Toc141430943 \h </w:instrText>
            </w:r>
            <w:r>
              <w:rPr>
                <w:noProof/>
                <w:webHidden/>
              </w:rPr>
            </w:r>
            <w:r>
              <w:rPr>
                <w:noProof/>
                <w:webHidden/>
              </w:rPr>
              <w:fldChar w:fldCharType="separate"/>
            </w:r>
            <w:r w:rsidR="00B10B8F">
              <w:rPr>
                <w:noProof/>
                <w:webHidden/>
              </w:rPr>
              <w:t>7</w:t>
            </w:r>
            <w:r>
              <w:rPr>
                <w:noProof/>
                <w:webHidden/>
              </w:rPr>
              <w:fldChar w:fldCharType="end"/>
            </w:r>
          </w:hyperlink>
        </w:p>
        <w:p w14:paraId="2FEA83B0" w14:textId="58B02018" w:rsidR="009C7D1A" w:rsidRDefault="009C7D1A">
          <w:pPr>
            <w:pStyle w:val="TDC2"/>
            <w:rPr>
              <w:rFonts w:asciiTheme="minorHAnsi" w:hAnsiTheme="minorHAnsi"/>
              <w:noProof/>
              <w:kern w:val="2"/>
              <w:sz w:val="24"/>
              <w:lang w:eastAsia="es-GT"/>
              <w14:ligatures w14:val="standardContextual"/>
            </w:rPr>
          </w:pPr>
          <w:hyperlink w:anchor="_Toc141430944" w:history="1">
            <w:r w:rsidRPr="000254C0">
              <w:rPr>
                <w:rStyle w:val="Hipervnculo"/>
                <w:rFonts w:cs="Times New Roman"/>
                <w:noProof/>
              </w:rPr>
              <w:t>5.2</w:t>
            </w:r>
            <w:r>
              <w:rPr>
                <w:rFonts w:asciiTheme="minorHAnsi" w:hAnsiTheme="minorHAnsi"/>
                <w:noProof/>
                <w:kern w:val="2"/>
                <w:sz w:val="24"/>
                <w:lang w:eastAsia="es-GT"/>
                <w14:ligatures w14:val="standardContextual"/>
              </w:rPr>
              <w:tab/>
            </w:r>
            <w:r w:rsidRPr="000254C0">
              <w:rPr>
                <w:rStyle w:val="Hipervnculo"/>
                <w:rFonts w:cs="Times New Roman"/>
                <w:noProof/>
              </w:rPr>
              <w:t>Ejecución institucional</w:t>
            </w:r>
            <w:r>
              <w:rPr>
                <w:noProof/>
                <w:webHidden/>
              </w:rPr>
              <w:tab/>
            </w:r>
            <w:r>
              <w:rPr>
                <w:noProof/>
                <w:webHidden/>
              </w:rPr>
              <w:fldChar w:fldCharType="begin"/>
            </w:r>
            <w:r>
              <w:rPr>
                <w:noProof/>
                <w:webHidden/>
              </w:rPr>
              <w:instrText xml:space="preserve"> PAGEREF _Toc141430944 \h </w:instrText>
            </w:r>
            <w:r>
              <w:rPr>
                <w:noProof/>
                <w:webHidden/>
              </w:rPr>
            </w:r>
            <w:r>
              <w:rPr>
                <w:noProof/>
                <w:webHidden/>
              </w:rPr>
              <w:fldChar w:fldCharType="separate"/>
            </w:r>
            <w:r w:rsidR="00B10B8F">
              <w:rPr>
                <w:noProof/>
                <w:webHidden/>
              </w:rPr>
              <w:t>8</w:t>
            </w:r>
            <w:r>
              <w:rPr>
                <w:noProof/>
                <w:webHidden/>
              </w:rPr>
              <w:fldChar w:fldCharType="end"/>
            </w:r>
          </w:hyperlink>
        </w:p>
        <w:p w14:paraId="52CAD45F" w14:textId="6D8E8B7C" w:rsidR="009C7D1A" w:rsidRDefault="009C7D1A">
          <w:pPr>
            <w:pStyle w:val="TDC1"/>
            <w:rPr>
              <w:rFonts w:asciiTheme="minorHAnsi" w:eastAsiaTheme="minorEastAsia" w:hAnsiTheme="minorHAnsi" w:cstheme="minorBidi"/>
              <w:b w:val="0"/>
              <w:bCs w:val="0"/>
              <w:kern w:val="2"/>
              <w:sz w:val="24"/>
              <w:lang w:eastAsia="es-GT"/>
              <w14:ligatures w14:val="standardContextual"/>
            </w:rPr>
          </w:pPr>
          <w:hyperlink w:anchor="_Toc141430945" w:history="1">
            <w:r w:rsidRPr="000254C0">
              <w:rPr>
                <w:rStyle w:val="Hipervnculo"/>
                <w:lang w:val="es-MX"/>
              </w:rPr>
              <w:t>VI.</w:t>
            </w:r>
            <w:r>
              <w:rPr>
                <w:rFonts w:asciiTheme="minorHAnsi" w:eastAsiaTheme="minorEastAsia" w:hAnsiTheme="minorHAnsi" w:cstheme="minorBidi"/>
                <w:b w:val="0"/>
                <w:bCs w:val="0"/>
                <w:kern w:val="2"/>
                <w:sz w:val="24"/>
                <w:lang w:eastAsia="es-GT"/>
                <w14:ligatures w14:val="standardContextual"/>
              </w:rPr>
              <w:tab/>
            </w:r>
            <w:r w:rsidRPr="000254C0">
              <w:rPr>
                <w:rStyle w:val="Hipervnculo"/>
                <w:lang w:val="es-MX"/>
              </w:rPr>
              <w:t>Resultado Fiscal</w:t>
            </w:r>
            <w:r>
              <w:rPr>
                <w:webHidden/>
              </w:rPr>
              <w:tab/>
            </w:r>
            <w:r>
              <w:rPr>
                <w:webHidden/>
              </w:rPr>
              <w:fldChar w:fldCharType="begin"/>
            </w:r>
            <w:r>
              <w:rPr>
                <w:webHidden/>
              </w:rPr>
              <w:instrText xml:space="preserve"> PAGEREF _Toc141430945 \h </w:instrText>
            </w:r>
            <w:r>
              <w:rPr>
                <w:webHidden/>
              </w:rPr>
            </w:r>
            <w:r>
              <w:rPr>
                <w:webHidden/>
              </w:rPr>
              <w:fldChar w:fldCharType="separate"/>
            </w:r>
            <w:r w:rsidR="00B10B8F">
              <w:rPr>
                <w:webHidden/>
              </w:rPr>
              <w:t>9</w:t>
            </w:r>
            <w:r>
              <w:rPr>
                <w:webHidden/>
              </w:rPr>
              <w:fldChar w:fldCharType="end"/>
            </w:r>
          </w:hyperlink>
        </w:p>
        <w:p w14:paraId="4A422DC2" w14:textId="1BFE2F96" w:rsidR="009C7D1A" w:rsidRDefault="009C7D1A">
          <w:pPr>
            <w:pStyle w:val="TDC2"/>
            <w:rPr>
              <w:rFonts w:asciiTheme="minorHAnsi" w:hAnsiTheme="minorHAnsi"/>
              <w:noProof/>
              <w:kern w:val="2"/>
              <w:sz w:val="24"/>
              <w:lang w:eastAsia="es-GT"/>
              <w14:ligatures w14:val="standardContextual"/>
            </w:rPr>
          </w:pPr>
          <w:hyperlink w:anchor="_Toc141430947" w:history="1">
            <w:r w:rsidRPr="000254C0">
              <w:rPr>
                <w:rStyle w:val="Hipervnculo"/>
                <w:rFonts w:cs="Times New Roman"/>
                <w:noProof/>
              </w:rPr>
              <w:t>6.1</w:t>
            </w:r>
            <w:r>
              <w:rPr>
                <w:rFonts w:asciiTheme="minorHAnsi" w:hAnsiTheme="minorHAnsi"/>
                <w:noProof/>
                <w:kern w:val="2"/>
                <w:sz w:val="24"/>
                <w:lang w:eastAsia="es-GT"/>
                <w14:ligatures w14:val="standardContextual"/>
              </w:rPr>
              <w:tab/>
            </w:r>
            <w:r w:rsidRPr="000254C0">
              <w:rPr>
                <w:rStyle w:val="Hipervnculo"/>
                <w:rFonts w:cs="Times New Roman"/>
                <w:noProof/>
              </w:rPr>
              <w:t>Resultado Operativo</w:t>
            </w:r>
            <w:r>
              <w:rPr>
                <w:noProof/>
                <w:webHidden/>
              </w:rPr>
              <w:tab/>
            </w:r>
            <w:r>
              <w:rPr>
                <w:noProof/>
                <w:webHidden/>
              </w:rPr>
              <w:fldChar w:fldCharType="begin"/>
            </w:r>
            <w:r>
              <w:rPr>
                <w:noProof/>
                <w:webHidden/>
              </w:rPr>
              <w:instrText xml:space="preserve"> PAGEREF _Toc141430947 \h </w:instrText>
            </w:r>
            <w:r>
              <w:rPr>
                <w:noProof/>
                <w:webHidden/>
              </w:rPr>
            </w:r>
            <w:r>
              <w:rPr>
                <w:noProof/>
                <w:webHidden/>
              </w:rPr>
              <w:fldChar w:fldCharType="separate"/>
            </w:r>
            <w:r w:rsidR="00B10B8F">
              <w:rPr>
                <w:noProof/>
                <w:webHidden/>
              </w:rPr>
              <w:t>9</w:t>
            </w:r>
            <w:r>
              <w:rPr>
                <w:noProof/>
                <w:webHidden/>
              </w:rPr>
              <w:fldChar w:fldCharType="end"/>
            </w:r>
          </w:hyperlink>
        </w:p>
        <w:p w14:paraId="67E23EDF" w14:textId="65C1C6AF" w:rsidR="009C7D1A" w:rsidRDefault="009C7D1A">
          <w:pPr>
            <w:pStyle w:val="TDC2"/>
            <w:rPr>
              <w:rFonts w:asciiTheme="minorHAnsi" w:hAnsiTheme="minorHAnsi"/>
              <w:noProof/>
              <w:kern w:val="2"/>
              <w:sz w:val="24"/>
              <w:lang w:eastAsia="es-GT"/>
              <w14:ligatures w14:val="standardContextual"/>
            </w:rPr>
          </w:pPr>
          <w:hyperlink w:anchor="_Toc141430948" w:history="1">
            <w:r w:rsidRPr="000254C0">
              <w:rPr>
                <w:rStyle w:val="Hipervnculo"/>
                <w:rFonts w:cs="Times New Roman"/>
                <w:noProof/>
              </w:rPr>
              <w:t>6.2</w:t>
            </w:r>
            <w:r>
              <w:rPr>
                <w:rFonts w:asciiTheme="minorHAnsi" w:hAnsiTheme="minorHAnsi"/>
                <w:noProof/>
                <w:kern w:val="2"/>
                <w:sz w:val="24"/>
                <w:lang w:eastAsia="es-GT"/>
                <w14:ligatures w14:val="standardContextual"/>
              </w:rPr>
              <w:tab/>
            </w:r>
            <w:r w:rsidRPr="000254C0">
              <w:rPr>
                <w:rStyle w:val="Hipervnculo"/>
                <w:rFonts w:cs="Times New Roman"/>
                <w:noProof/>
              </w:rPr>
              <w:t>Endeudamiento Neto</w:t>
            </w:r>
            <w:r>
              <w:rPr>
                <w:noProof/>
                <w:webHidden/>
              </w:rPr>
              <w:tab/>
            </w:r>
            <w:r>
              <w:rPr>
                <w:noProof/>
                <w:webHidden/>
              </w:rPr>
              <w:fldChar w:fldCharType="begin"/>
            </w:r>
            <w:r>
              <w:rPr>
                <w:noProof/>
                <w:webHidden/>
              </w:rPr>
              <w:instrText xml:space="preserve"> PAGEREF _Toc141430948 \h </w:instrText>
            </w:r>
            <w:r>
              <w:rPr>
                <w:noProof/>
                <w:webHidden/>
              </w:rPr>
            </w:r>
            <w:r>
              <w:rPr>
                <w:noProof/>
                <w:webHidden/>
              </w:rPr>
              <w:fldChar w:fldCharType="separate"/>
            </w:r>
            <w:r w:rsidR="00B10B8F">
              <w:rPr>
                <w:noProof/>
                <w:webHidden/>
              </w:rPr>
              <w:t>9</w:t>
            </w:r>
            <w:r>
              <w:rPr>
                <w:noProof/>
                <w:webHidden/>
              </w:rPr>
              <w:fldChar w:fldCharType="end"/>
            </w:r>
          </w:hyperlink>
        </w:p>
        <w:p w14:paraId="5BE2AAB0" w14:textId="6D92D138" w:rsidR="0032588B" w:rsidRPr="00FC4688" w:rsidRDefault="0032588B" w:rsidP="00CD34D6">
          <w:pPr>
            <w:spacing w:line="276" w:lineRule="auto"/>
            <w:rPr>
              <w:rFonts w:cs="Times New Roman"/>
              <w:color w:val="FF0000"/>
            </w:rPr>
          </w:pPr>
          <w:r w:rsidRPr="00FC4688">
            <w:rPr>
              <w:rFonts w:cs="Times New Roman"/>
              <w:bCs/>
              <w:color w:val="FF0000"/>
              <w:lang w:val="es-ES"/>
            </w:rPr>
            <w:fldChar w:fldCharType="end"/>
          </w:r>
        </w:p>
      </w:sdtContent>
    </w:sdt>
    <w:p w14:paraId="21BB0213" w14:textId="77777777" w:rsidR="006B58E6" w:rsidRPr="00FC4688" w:rsidRDefault="006B58E6" w:rsidP="006B58E6">
      <w:pPr>
        <w:tabs>
          <w:tab w:val="left" w:pos="5490"/>
        </w:tabs>
        <w:spacing w:after="200" w:line="276" w:lineRule="auto"/>
        <w:rPr>
          <w:rFonts w:eastAsiaTheme="majorEastAsia" w:cs="Times New Roman"/>
          <w:b/>
          <w:bCs/>
          <w:szCs w:val="26"/>
        </w:rPr>
      </w:pPr>
      <w:bookmarkStart w:id="0" w:name="_Toc33180541"/>
      <w:r w:rsidRPr="00FC4688">
        <w:rPr>
          <w:rFonts w:eastAsiaTheme="majorEastAsia" w:cs="Times New Roman"/>
          <w:b/>
          <w:bCs/>
          <w:szCs w:val="26"/>
        </w:rPr>
        <w:tab/>
      </w:r>
    </w:p>
    <w:p w14:paraId="1E4B481B" w14:textId="5CF023FB" w:rsidR="0041288C" w:rsidRPr="00FC4688" w:rsidRDefault="0041288C" w:rsidP="006B58E6">
      <w:pPr>
        <w:tabs>
          <w:tab w:val="left" w:pos="5490"/>
        </w:tabs>
        <w:spacing w:after="200" w:line="276" w:lineRule="auto"/>
        <w:rPr>
          <w:rFonts w:eastAsiaTheme="majorEastAsia" w:cs="Times New Roman"/>
          <w:b/>
          <w:bCs/>
          <w:szCs w:val="26"/>
        </w:rPr>
      </w:pPr>
      <w:r w:rsidRPr="00FC4688">
        <w:rPr>
          <w:rFonts w:eastAsiaTheme="majorEastAsia" w:cs="Times New Roman"/>
          <w:szCs w:val="26"/>
        </w:rPr>
        <w:br w:type="page"/>
      </w:r>
    </w:p>
    <w:p w14:paraId="4919E5EF" w14:textId="77777777" w:rsidR="0041288C" w:rsidRPr="00FC4688" w:rsidRDefault="0041288C" w:rsidP="00055D08">
      <w:pPr>
        <w:pStyle w:val="Prrafodelista"/>
        <w:ind w:left="0"/>
        <w:outlineLvl w:val="0"/>
        <w:rPr>
          <w:rFonts w:eastAsiaTheme="majorEastAsia" w:cs="Times New Roman"/>
          <w:b/>
          <w:bCs/>
          <w:sz w:val="24"/>
          <w:szCs w:val="26"/>
          <w:lang w:val="es-ES_tradnl" w:eastAsia="es-ES"/>
        </w:rPr>
      </w:pPr>
      <w:bookmarkStart w:id="1" w:name="_Toc141430917"/>
      <w:r w:rsidRPr="00FC4688">
        <w:rPr>
          <w:rFonts w:eastAsiaTheme="majorEastAsia" w:cs="Times New Roman"/>
          <w:b/>
          <w:bCs/>
          <w:sz w:val="24"/>
          <w:szCs w:val="26"/>
          <w:lang w:val="es-ES_tradnl" w:eastAsia="es-ES"/>
        </w:rPr>
        <w:t>Introducción</w:t>
      </w:r>
      <w:bookmarkEnd w:id="0"/>
      <w:bookmarkEnd w:id="1"/>
    </w:p>
    <w:p w14:paraId="0196EF86" w14:textId="795098BC" w:rsidR="00974B8B" w:rsidRPr="00FC4688" w:rsidRDefault="0041288C" w:rsidP="00F55D61">
      <w:pPr>
        <w:rPr>
          <w:lang w:val="es-MX"/>
        </w:rPr>
      </w:pPr>
      <w:r w:rsidRPr="00FC4688">
        <w:rPr>
          <w:lang w:val="es-MX"/>
        </w:rPr>
        <w:t xml:space="preserve">A </w:t>
      </w:r>
      <w:r w:rsidR="0060366C" w:rsidRPr="00FC4688">
        <w:rPr>
          <w:lang w:val="es-MX"/>
        </w:rPr>
        <w:t>continuación,</w:t>
      </w:r>
      <w:r w:rsidRPr="00FC4688">
        <w:rPr>
          <w:lang w:val="es-MX"/>
        </w:rPr>
        <w:t xml:space="preserve"> se presenta </w:t>
      </w:r>
      <w:r w:rsidRPr="00FC4688">
        <w:rPr>
          <w:b/>
          <w:bCs/>
          <w:lang w:val="es-MX"/>
        </w:rPr>
        <w:t xml:space="preserve">el </w:t>
      </w:r>
      <w:r w:rsidR="00B71FA0">
        <w:rPr>
          <w:b/>
          <w:bCs/>
          <w:lang w:val="es-MX"/>
        </w:rPr>
        <w:t>i</w:t>
      </w:r>
      <w:r w:rsidRPr="00FC4688">
        <w:rPr>
          <w:b/>
          <w:bCs/>
          <w:lang w:val="es-MX"/>
        </w:rPr>
        <w:t>nforme</w:t>
      </w:r>
      <w:r w:rsidR="00445193" w:rsidRPr="00FC4688">
        <w:rPr>
          <w:b/>
          <w:bCs/>
          <w:lang w:val="es-MX"/>
        </w:rPr>
        <w:t xml:space="preserve"> </w:t>
      </w:r>
      <w:r w:rsidR="005557C8">
        <w:rPr>
          <w:b/>
          <w:bCs/>
          <w:lang w:val="es-MX"/>
        </w:rPr>
        <w:t xml:space="preserve">al </w:t>
      </w:r>
      <w:r w:rsidR="00E7141F">
        <w:rPr>
          <w:b/>
          <w:bCs/>
          <w:lang w:val="es-MX"/>
        </w:rPr>
        <w:t>segundo</w:t>
      </w:r>
      <w:r w:rsidR="005557C8">
        <w:rPr>
          <w:b/>
          <w:bCs/>
          <w:lang w:val="es-MX"/>
        </w:rPr>
        <w:t xml:space="preserve"> trimestre</w:t>
      </w:r>
      <w:r w:rsidR="002E2298" w:rsidRPr="00FC4688">
        <w:rPr>
          <w:b/>
          <w:bCs/>
          <w:lang w:val="es-MX"/>
        </w:rPr>
        <w:t xml:space="preserve"> de 20</w:t>
      </w:r>
      <w:r w:rsidR="005557C8">
        <w:rPr>
          <w:b/>
          <w:bCs/>
          <w:lang w:val="es-MX"/>
        </w:rPr>
        <w:t>23</w:t>
      </w:r>
      <w:r w:rsidR="002E2298" w:rsidRPr="00FC4688">
        <w:rPr>
          <w:lang w:val="es-MX"/>
        </w:rPr>
        <w:t xml:space="preserve">, </w:t>
      </w:r>
      <w:r w:rsidRPr="00FC4688">
        <w:rPr>
          <w:lang w:val="es-MX"/>
        </w:rPr>
        <w:t>sobre l</w:t>
      </w:r>
      <w:r w:rsidR="00D63046" w:rsidRPr="00FC4688">
        <w:rPr>
          <w:lang w:val="es-MX"/>
        </w:rPr>
        <w:t>a ejecución financiera del gobierno central presupuestario sobre la base de las</w:t>
      </w:r>
      <w:r w:rsidRPr="00FC4688">
        <w:rPr>
          <w:lang w:val="es-MX"/>
        </w:rPr>
        <w:t xml:space="preserve"> Estadísticas de las Finanzas Públicas -EFP- el cual contiene los aspectos más relevantes de la evolución de las variables fiscales</w:t>
      </w:r>
      <w:r w:rsidR="00D63046" w:rsidRPr="00FC4688">
        <w:rPr>
          <w:lang w:val="es-MX"/>
        </w:rPr>
        <w:t>, así como las</w:t>
      </w:r>
      <w:r w:rsidR="00AA5C09" w:rsidRPr="00FC4688">
        <w:rPr>
          <w:lang w:val="es-MX"/>
        </w:rPr>
        <w:t xml:space="preserve"> </w:t>
      </w:r>
      <w:r w:rsidRPr="00FC4688">
        <w:rPr>
          <w:lang w:val="es-MX"/>
        </w:rPr>
        <w:t>principales acciones en materia de ingresos, gasto, transacciones en activos y pasivos y las erogaciones por función del Gobierno</w:t>
      </w:r>
      <w:r w:rsidR="004E3572" w:rsidRPr="00FC4688">
        <w:rPr>
          <w:lang w:val="es-MX"/>
        </w:rPr>
        <w:t xml:space="preserve">. </w:t>
      </w:r>
    </w:p>
    <w:p w14:paraId="166F9829" w14:textId="77777777" w:rsidR="00974B8B" w:rsidRPr="00FC4688" w:rsidRDefault="00974B8B" w:rsidP="00F55D61">
      <w:pPr>
        <w:rPr>
          <w:lang w:val="es-MX"/>
        </w:rPr>
      </w:pPr>
    </w:p>
    <w:p w14:paraId="522D2460" w14:textId="77777777" w:rsidR="0041288C" w:rsidRPr="00FC4688" w:rsidRDefault="004E3572" w:rsidP="00F55D61">
      <w:pPr>
        <w:rPr>
          <w:lang w:val="es-MX"/>
        </w:rPr>
      </w:pPr>
      <w:r w:rsidRPr="00FC4688">
        <w:rPr>
          <w:lang w:val="es-MX"/>
        </w:rPr>
        <w:t xml:space="preserve">Cabe mencionar que dicha información utiliza los </w:t>
      </w:r>
      <w:r w:rsidR="005F2296" w:rsidRPr="00FC4688">
        <w:rPr>
          <w:lang w:val="es-MX"/>
        </w:rPr>
        <w:t>estándares internacionales establecidos en el Manual de Estadísticas de las Finanzas Públicas 2014 -MEFP-</w:t>
      </w:r>
      <w:r w:rsidR="00974B8B" w:rsidRPr="00FC4688">
        <w:rPr>
          <w:lang w:val="es-MX"/>
        </w:rPr>
        <w:t xml:space="preserve"> del Fondo Monetario </w:t>
      </w:r>
      <w:r w:rsidR="00F35956" w:rsidRPr="00FC4688">
        <w:rPr>
          <w:lang w:val="es-MX"/>
        </w:rPr>
        <w:t xml:space="preserve">Internacional </w:t>
      </w:r>
      <w:r w:rsidR="0041288C" w:rsidRPr="00FC4688">
        <w:rPr>
          <w:lang w:val="es-MX"/>
        </w:rPr>
        <w:t>-FMI- por lo que existen diferencias en comparación</w:t>
      </w:r>
      <w:r w:rsidR="00774760" w:rsidRPr="00FC4688">
        <w:rPr>
          <w:lang w:val="es-MX"/>
        </w:rPr>
        <w:t xml:space="preserve"> a las cifras que son publicadas </w:t>
      </w:r>
      <w:r w:rsidR="0041288C" w:rsidRPr="00FC4688">
        <w:rPr>
          <w:lang w:val="es-MX"/>
        </w:rPr>
        <w:t>utiliza</w:t>
      </w:r>
      <w:r w:rsidR="00774760" w:rsidRPr="00FC4688">
        <w:rPr>
          <w:lang w:val="es-MX"/>
        </w:rPr>
        <w:t>ndo</w:t>
      </w:r>
      <w:r w:rsidR="0041288C" w:rsidRPr="00FC4688">
        <w:rPr>
          <w:lang w:val="es-MX"/>
        </w:rPr>
        <w:t xml:space="preserve"> la metodología nacional.</w:t>
      </w:r>
      <w:r w:rsidR="00F8714D" w:rsidRPr="00FC4688">
        <w:rPr>
          <w:lang w:val="es-MX"/>
        </w:rPr>
        <w:t xml:space="preserve"> </w:t>
      </w:r>
      <w:r w:rsidR="003D1490" w:rsidRPr="00FC4688">
        <w:rPr>
          <w:lang w:val="es-MX"/>
        </w:rPr>
        <w:t xml:space="preserve">En caso de cualquier </w:t>
      </w:r>
      <w:r w:rsidR="00FA4254" w:rsidRPr="00FC4688">
        <w:rPr>
          <w:lang w:val="es-MX"/>
        </w:rPr>
        <w:t>duda</w:t>
      </w:r>
      <w:r w:rsidR="00E507D9" w:rsidRPr="00FC4688">
        <w:rPr>
          <w:lang w:val="es-MX"/>
        </w:rPr>
        <w:t xml:space="preserve"> sobre estas diferencias</w:t>
      </w:r>
      <w:r w:rsidR="002710C2" w:rsidRPr="00FC4688">
        <w:rPr>
          <w:lang w:val="es-MX"/>
        </w:rPr>
        <w:t xml:space="preserve">, </w:t>
      </w:r>
      <w:r w:rsidR="00723705" w:rsidRPr="00FC4688">
        <w:rPr>
          <w:lang w:val="es-MX"/>
        </w:rPr>
        <w:t xml:space="preserve">se </w:t>
      </w:r>
      <w:r w:rsidR="002710C2" w:rsidRPr="00FC4688">
        <w:rPr>
          <w:lang w:val="es-MX"/>
        </w:rPr>
        <w:t xml:space="preserve">puede consultar los documentos de </w:t>
      </w:r>
      <w:r w:rsidR="00C139AC" w:rsidRPr="00FC4688">
        <w:rPr>
          <w:lang w:val="es-MX"/>
        </w:rPr>
        <w:t>“</w:t>
      </w:r>
      <w:r w:rsidR="002710C2" w:rsidRPr="00FC4688">
        <w:rPr>
          <w:lang w:val="es-MX"/>
        </w:rPr>
        <w:t>Metodología</w:t>
      </w:r>
      <w:r w:rsidR="00C139AC" w:rsidRPr="00FC4688">
        <w:rPr>
          <w:lang w:val="es-MX"/>
        </w:rPr>
        <w:t>”</w:t>
      </w:r>
      <w:r w:rsidR="002710C2" w:rsidRPr="00FC4688">
        <w:rPr>
          <w:lang w:val="es-MX"/>
        </w:rPr>
        <w:t xml:space="preserve"> y de </w:t>
      </w:r>
      <w:r w:rsidR="00C139AC" w:rsidRPr="00FC4688">
        <w:rPr>
          <w:lang w:val="es-MX"/>
        </w:rPr>
        <w:t xml:space="preserve">“Metadatos” </w:t>
      </w:r>
      <w:r w:rsidR="00F42DC5" w:rsidRPr="00FC4688">
        <w:rPr>
          <w:lang w:val="es-MX"/>
        </w:rPr>
        <w:t xml:space="preserve">que se encuentran publicados en </w:t>
      </w:r>
      <w:r w:rsidR="00C923AF" w:rsidRPr="00FC4688">
        <w:rPr>
          <w:lang w:val="es-MX"/>
        </w:rPr>
        <w:t xml:space="preserve">la </w:t>
      </w:r>
      <w:r w:rsidR="00DB2A3F" w:rsidRPr="00FC4688">
        <w:rPr>
          <w:lang w:val="es-MX"/>
        </w:rPr>
        <w:t>página</w:t>
      </w:r>
      <w:r w:rsidR="00F42DC5" w:rsidRPr="00FC4688">
        <w:rPr>
          <w:lang w:val="es-MX"/>
        </w:rPr>
        <w:t xml:space="preserve"> web</w:t>
      </w:r>
      <w:r w:rsidR="00C923AF" w:rsidRPr="00FC4688">
        <w:rPr>
          <w:lang w:val="es-MX"/>
        </w:rPr>
        <w:t xml:space="preserve"> del Ministerio de Finanzas Públicas</w:t>
      </w:r>
      <w:r w:rsidR="00723705" w:rsidRPr="00FC4688">
        <w:rPr>
          <w:lang w:val="es-MX"/>
        </w:rPr>
        <w:t>,</w:t>
      </w:r>
      <w:r w:rsidR="00C923AF" w:rsidRPr="00FC4688">
        <w:rPr>
          <w:lang w:val="es-MX"/>
        </w:rPr>
        <w:t xml:space="preserve"> en la sección de “Estadísticas según Estándares Internacionales”</w:t>
      </w:r>
      <w:r w:rsidR="00F42DC5" w:rsidRPr="00FC4688">
        <w:rPr>
          <w:lang w:val="es-MX"/>
        </w:rPr>
        <w:t>.</w:t>
      </w:r>
    </w:p>
    <w:p w14:paraId="28D96728" w14:textId="77777777" w:rsidR="002B762F" w:rsidRPr="00FC4688" w:rsidRDefault="002B762F" w:rsidP="00F55D61">
      <w:pPr>
        <w:rPr>
          <w:lang w:val="es-MX"/>
        </w:rPr>
      </w:pPr>
    </w:p>
    <w:p w14:paraId="37573775" w14:textId="77777777" w:rsidR="00E66A98" w:rsidRPr="00FC4688" w:rsidRDefault="00A52F77" w:rsidP="00E66A98">
      <w:pPr>
        <w:pStyle w:val="Prrafodelista"/>
        <w:numPr>
          <w:ilvl w:val="0"/>
          <w:numId w:val="1"/>
        </w:numPr>
        <w:ind w:left="284" w:hanging="284"/>
        <w:outlineLvl w:val="0"/>
        <w:rPr>
          <w:rFonts w:eastAsiaTheme="majorEastAsia" w:cs="Times New Roman"/>
          <w:b/>
          <w:bCs/>
          <w:sz w:val="24"/>
          <w:szCs w:val="26"/>
          <w:lang w:val="es-ES_tradnl" w:eastAsia="es-ES"/>
        </w:rPr>
      </w:pPr>
      <w:bookmarkStart w:id="2" w:name="_Toc141430918"/>
      <w:r w:rsidRPr="00FC4688">
        <w:rPr>
          <w:rFonts w:eastAsiaTheme="majorEastAsia" w:cs="Times New Roman"/>
          <w:b/>
          <w:bCs/>
          <w:sz w:val="24"/>
          <w:szCs w:val="26"/>
          <w:lang w:val="es-ES_tradnl" w:eastAsia="es-ES"/>
        </w:rPr>
        <w:t>Ingresos</w:t>
      </w:r>
      <w:r w:rsidR="00E66A98" w:rsidRPr="00FC4688">
        <w:rPr>
          <w:rFonts w:eastAsiaTheme="majorEastAsia" w:cs="Times New Roman"/>
          <w:b/>
          <w:bCs/>
          <w:sz w:val="24"/>
          <w:szCs w:val="26"/>
          <w:lang w:val="es-ES_tradnl" w:eastAsia="es-ES"/>
        </w:rPr>
        <w:t xml:space="preserve"> </w:t>
      </w:r>
      <w:r w:rsidR="00301F9F" w:rsidRPr="00FC4688">
        <w:rPr>
          <w:rFonts w:eastAsiaTheme="majorEastAsia" w:cs="Times New Roman"/>
          <w:b/>
          <w:bCs/>
          <w:sz w:val="24"/>
          <w:szCs w:val="26"/>
          <w:lang w:val="es-ES_tradnl" w:eastAsia="es-ES"/>
        </w:rPr>
        <w:t>del Gobierno Central Presupuestario</w:t>
      </w:r>
      <w:bookmarkEnd w:id="2"/>
    </w:p>
    <w:p w14:paraId="27F759C0" w14:textId="4E03F058" w:rsidR="00E66A98" w:rsidRPr="00FC4688" w:rsidRDefault="00DB2C33" w:rsidP="002C3755">
      <w:pPr>
        <w:rPr>
          <w:rFonts w:eastAsiaTheme="majorEastAsia"/>
          <w:lang w:val="es-ES_tradnl"/>
        </w:rPr>
      </w:pPr>
      <w:r w:rsidRPr="00FC4688">
        <w:rPr>
          <w:rFonts w:eastAsiaTheme="majorEastAsia"/>
          <w:noProof/>
          <w:lang w:eastAsia="es-GT"/>
        </w:rPr>
        <w:drawing>
          <wp:inline distT="0" distB="0" distL="0" distR="0" wp14:anchorId="2394B235" wp14:editId="3DB1E959">
            <wp:extent cx="5836920" cy="876300"/>
            <wp:effectExtent l="76200" t="38100" r="87630" b="13335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bookmarkStart w:id="3" w:name="_Toc471986924"/>
      <w:bookmarkStart w:id="4" w:name="_Toc471987059"/>
      <w:bookmarkStart w:id="5" w:name="_Toc471987107"/>
      <w:bookmarkStart w:id="6" w:name="_Toc471987129"/>
      <w:bookmarkStart w:id="7" w:name="_Toc472082158"/>
      <w:bookmarkStart w:id="8" w:name="_Toc472082190"/>
      <w:bookmarkStart w:id="9" w:name="_Toc472089905"/>
      <w:bookmarkStart w:id="10" w:name="_Toc472089928"/>
      <w:bookmarkStart w:id="11" w:name="_Toc505346056"/>
      <w:bookmarkStart w:id="12" w:name="_Toc505349869"/>
      <w:bookmarkStart w:id="13" w:name="_Toc534985827"/>
      <w:bookmarkStart w:id="14" w:name="_Toc534988220"/>
      <w:bookmarkStart w:id="15" w:name="_Toc31611540"/>
      <w:bookmarkStart w:id="16" w:name="_Toc31612756"/>
      <w:bookmarkStart w:id="17" w:name="_Toc31612788"/>
      <w:bookmarkStart w:id="18" w:name="_Toc31614814"/>
      <w:bookmarkStart w:id="19" w:name="_Toc31614846"/>
      <w:bookmarkStart w:id="20" w:name="_Toc31618683"/>
      <w:bookmarkStart w:id="21" w:name="_Toc31618716"/>
      <w:bookmarkStart w:id="22" w:name="_Toc31624492"/>
      <w:bookmarkStart w:id="23" w:name="_Toc31625344"/>
      <w:bookmarkStart w:id="24" w:name="_Toc31626799"/>
      <w:bookmarkStart w:id="25" w:name="_Toc31811250"/>
      <w:bookmarkStart w:id="26" w:name="_Toc31811695"/>
      <w:bookmarkStart w:id="27" w:name="_Toc31971858"/>
      <w:bookmarkStart w:id="28" w:name="_Toc32230880"/>
      <w:bookmarkStart w:id="29" w:name="_Toc33109779"/>
      <w:bookmarkStart w:id="30" w:name="_Toc33109822"/>
      <w:bookmarkStart w:id="31" w:name="_Toc33180543"/>
      <w:bookmarkStart w:id="32" w:name="_Toc33180637"/>
      <w:bookmarkStart w:id="33" w:name="_Toc33193534"/>
      <w:bookmarkStart w:id="34" w:name="_Toc33193573"/>
      <w:bookmarkStart w:id="35" w:name="_Toc33196770"/>
      <w:bookmarkStart w:id="36" w:name="_Toc40691746"/>
      <w:bookmarkStart w:id="37" w:name="_Toc40959149"/>
      <w:bookmarkStart w:id="38" w:name="_Toc40975983"/>
      <w:bookmarkStart w:id="39" w:name="_Toc40976052"/>
      <w:bookmarkStart w:id="40" w:name="_Toc40993307"/>
      <w:bookmarkStart w:id="41" w:name="_Toc40993689"/>
      <w:bookmarkStart w:id="42" w:name="_Toc41037565"/>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573AD0D9" w14:textId="03738F97" w:rsidR="00E66A98" w:rsidRPr="00FC4688" w:rsidRDefault="0014189B" w:rsidP="00EB6D9F">
      <w:pPr>
        <w:pStyle w:val="Ttulo2"/>
        <w:numPr>
          <w:ilvl w:val="1"/>
          <w:numId w:val="11"/>
        </w:numPr>
        <w:tabs>
          <w:tab w:val="left" w:pos="426"/>
        </w:tabs>
        <w:spacing w:before="0"/>
        <w:ind w:left="284" w:hanging="284"/>
        <w:rPr>
          <w:rFonts w:ascii="Times New Roman" w:hAnsi="Times New Roman" w:cs="Times New Roman"/>
          <w:color w:val="auto"/>
          <w:sz w:val="24"/>
        </w:rPr>
      </w:pPr>
      <w:bookmarkStart w:id="43" w:name="_Toc141430919"/>
      <w:r>
        <w:rPr>
          <w:rFonts w:ascii="Times New Roman" w:hAnsi="Times New Roman" w:cs="Times New Roman"/>
          <w:color w:val="auto"/>
          <w:sz w:val="24"/>
        </w:rPr>
        <w:t xml:space="preserve">Desaceleración </w:t>
      </w:r>
      <w:r w:rsidR="004D09F5">
        <w:rPr>
          <w:rFonts w:ascii="Times New Roman" w:hAnsi="Times New Roman" w:cs="Times New Roman"/>
          <w:color w:val="auto"/>
          <w:sz w:val="24"/>
        </w:rPr>
        <w:t>en los</w:t>
      </w:r>
      <w:r w:rsidR="00606599">
        <w:rPr>
          <w:rFonts w:ascii="Times New Roman" w:hAnsi="Times New Roman" w:cs="Times New Roman"/>
          <w:color w:val="auto"/>
          <w:sz w:val="24"/>
        </w:rPr>
        <w:t xml:space="preserve"> ingresos </w:t>
      </w:r>
      <w:r w:rsidR="004D09F5">
        <w:rPr>
          <w:rFonts w:ascii="Times New Roman" w:hAnsi="Times New Roman" w:cs="Times New Roman"/>
          <w:color w:val="auto"/>
          <w:sz w:val="24"/>
        </w:rPr>
        <w:t>fiscales</w:t>
      </w:r>
      <w:bookmarkEnd w:id="43"/>
      <w:r w:rsidR="004D09F5">
        <w:rPr>
          <w:rFonts w:ascii="Times New Roman" w:hAnsi="Times New Roman" w:cs="Times New Roman"/>
          <w:color w:val="auto"/>
          <w:sz w:val="24"/>
        </w:rPr>
        <w:t xml:space="preserve"> </w:t>
      </w:r>
    </w:p>
    <w:p w14:paraId="2D047FDC" w14:textId="060BD7F5" w:rsidR="004A5B1A" w:rsidRDefault="007C1C58" w:rsidP="00960F3C">
      <w:pPr>
        <w:rPr>
          <w:rFonts w:cs="Times New Roman"/>
          <w:szCs w:val="22"/>
        </w:rPr>
      </w:pPr>
      <w:r w:rsidRPr="00FC4688">
        <w:rPr>
          <w:rFonts w:cs="Times New Roman"/>
          <w:noProof/>
          <w:sz w:val="24"/>
          <w:lang w:eastAsia="es-GT"/>
        </w:rPr>
        <w:drawing>
          <wp:anchor distT="0" distB="0" distL="114300" distR="114300" simplePos="0" relativeHeight="251660292" behindDoc="0" locked="0" layoutInCell="1" allowOverlap="1" wp14:anchorId="0E488811" wp14:editId="56DF8875">
            <wp:simplePos x="0" y="0"/>
            <wp:positionH relativeFrom="margin">
              <wp:posOffset>3336925</wp:posOffset>
            </wp:positionH>
            <wp:positionV relativeFrom="paragraph">
              <wp:posOffset>8255</wp:posOffset>
            </wp:positionV>
            <wp:extent cx="2632710" cy="2503805"/>
            <wp:effectExtent l="0" t="0" r="0" b="0"/>
            <wp:wrapSquare wrapText="bothSides"/>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247865">
        <w:rPr>
          <w:rFonts w:cs="Times New Roman"/>
          <w:szCs w:val="22"/>
        </w:rPr>
        <w:t xml:space="preserve">Los ingresos totales </w:t>
      </w:r>
      <w:r w:rsidR="00247865" w:rsidRPr="00047106">
        <w:rPr>
          <w:rFonts w:cs="Times New Roman"/>
          <w:szCs w:val="22"/>
        </w:rPr>
        <w:t xml:space="preserve">del Gobierno Central Presupuestario </w:t>
      </w:r>
      <w:r w:rsidR="00AF7F04">
        <w:rPr>
          <w:rFonts w:cs="Times New Roman"/>
          <w:szCs w:val="22"/>
        </w:rPr>
        <w:t>a junio</w:t>
      </w:r>
      <w:r w:rsidR="00247865" w:rsidRPr="00047106">
        <w:rPr>
          <w:rFonts w:cs="Times New Roman"/>
          <w:szCs w:val="22"/>
        </w:rPr>
        <w:t xml:space="preserve"> </w:t>
      </w:r>
      <w:r w:rsidR="00247865">
        <w:rPr>
          <w:rFonts w:cs="Times New Roman"/>
          <w:szCs w:val="22"/>
        </w:rPr>
        <w:t xml:space="preserve">de </w:t>
      </w:r>
      <w:r w:rsidR="00A50731">
        <w:rPr>
          <w:rFonts w:cs="Times New Roman"/>
          <w:szCs w:val="22"/>
        </w:rPr>
        <w:t>2023</w:t>
      </w:r>
      <w:r w:rsidR="00247865">
        <w:rPr>
          <w:rFonts w:cs="Times New Roman"/>
          <w:szCs w:val="22"/>
        </w:rPr>
        <w:t xml:space="preserve"> </w:t>
      </w:r>
      <w:r w:rsidR="00247865" w:rsidRPr="00047106">
        <w:rPr>
          <w:rFonts w:cs="Times New Roman"/>
          <w:szCs w:val="22"/>
        </w:rPr>
        <w:t>s</w:t>
      </w:r>
      <w:r w:rsidR="00AF7F04">
        <w:rPr>
          <w:rFonts w:cs="Times New Roman"/>
          <w:szCs w:val="22"/>
        </w:rPr>
        <w:t xml:space="preserve">on de </w:t>
      </w:r>
      <w:r w:rsidR="00247865" w:rsidRPr="00165874">
        <w:rPr>
          <w:rFonts w:cs="Times New Roman"/>
          <w:szCs w:val="22"/>
        </w:rPr>
        <w:t>Q</w:t>
      </w:r>
      <w:r w:rsidR="00080DA6">
        <w:rPr>
          <w:rFonts w:cs="Times New Roman"/>
          <w:szCs w:val="22"/>
        </w:rPr>
        <w:t>49,902.1</w:t>
      </w:r>
      <w:r w:rsidR="00247865" w:rsidRPr="00047106">
        <w:rPr>
          <w:rFonts w:cs="Times New Roman"/>
          <w:szCs w:val="22"/>
        </w:rPr>
        <w:t xml:space="preserve"> millones</w:t>
      </w:r>
      <w:r w:rsidR="00247865">
        <w:rPr>
          <w:rFonts w:cs="Times New Roman"/>
          <w:szCs w:val="22"/>
        </w:rPr>
        <w:t xml:space="preserve"> </w:t>
      </w:r>
      <w:r w:rsidR="00080DA6">
        <w:rPr>
          <w:rFonts w:cs="Times New Roman"/>
          <w:szCs w:val="22"/>
        </w:rPr>
        <w:t xml:space="preserve">y </w:t>
      </w:r>
      <w:r w:rsidR="00EA374B">
        <w:rPr>
          <w:rFonts w:cs="Times New Roman"/>
          <w:szCs w:val="22"/>
        </w:rPr>
        <w:t>teniendo</w:t>
      </w:r>
      <w:r w:rsidR="00080DA6">
        <w:rPr>
          <w:rFonts w:cs="Times New Roman"/>
          <w:szCs w:val="22"/>
        </w:rPr>
        <w:t xml:space="preserve"> un crecimiento</w:t>
      </w:r>
      <w:r w:rsidR="00EA374B">
        <w:rPr>
          <w:rFonts w:cs="Times New Roman"/>
          <w:szCs w:val="22"/>
        </w:rPr>
        <w:t xml:space="preserve"> interanual</w:t>
      </w:r>
      <w:r w:rsidR="00080DA6">
        <w:rPr>
          <w:rFonts w:cs="Times New Roman"/>
          <w:szCs w:val="22"/>
        </w:rPr>
        <w:t xml:space="preserve"> del 9.8% </w:t>
      </w:r>
      <w:r w:rsidR="00247865" w:rsidRPr="00047106">
        <w:rPr>
          <w:rFonts w:cs="Times New Roman"/>
          <w:szCs w:val="22"/>
        </w:rPr>
        <w:t>(Q</w:t>
      </w:r>
      <w:r w:rsidR="001C1D66" w:rsidRPr="001C1D66">
        <w:rPr>
          <w:rFonts w:cs="Times New Roman"/>
          <w:szCs w:val="22"/>
        </w:rPr>
        <w:t xml:space="preserve">4,467.8 </w:t>
      </w:r>
      <w:r w:rsidR="00247865" w:rsidRPr="00047106">
        <w:rPr>
          <w:rFonts w:cs="Times New Roman"/>
          <w:szCs w:val="22"/>
        </w:rPr>
        <w:t>millones),</w:t>
      </w:r>
      <w:r w:rsidR="008110A2">
        <w:rPr>
          <w:rFonts w:cs="Times New Roman"/>
          <w:szCs w:val="22"/>
        </w:rPr>
        <w:t xml:space="preserve"> cabe mencionar que el ritmo de crecimiento </w:t>
      </w:r>
      <w:r w:rsidR="00316DC8">
        <w:rPr>
          <w:rFonts w:cs="Times New Roman"/>
          <w:szCs w:val="22"/>
        </w:rPr>
        <w:t xml:space="preserve">al segundo trimestre es menor al observado </w:t>
      </w:r>
      <w:r w:rsidR="00682811">
        <w:rPr>
          <w:rFonts w:cs="Times New Roman"/>
          <w:szCs w:val="22"/>
        </w:rPr>
        <w:t xml:space="preserve">durante </w:t>
      </w:r>
      <w:r w:rsidR="00316DC8">
        <w:rPr>
          <w:rFonts w:cs="Times New Roman"/>
          <w:szCs w:val="22"/>
        </w:rPr>
        <w:t>el primer trimestre</w:t>
      </w:r>
      <w:r w:rsidR="00B45B0C">
        <w:rPr>
          <w:rFonts w:cs="Times New Roman"/>
          <w:szCs w:val="22"/>
        </w:rPr>
        <w:t>,</w:t>
      </w:r>
      <w:r w:rsidR="00514036">
        <w:rPr>
          <w:rFonts w:cs="Times New Roman"/>
          <w:szCs w:val="22"/>
        </w:rPr>
        <w:t xml:space="preserve"> cuando </w:t>
      </w:r>
      <w:r w:rsidR="00221DB6">
        <w:rPr>
          <w:rFonts w:cs="Times New Roman"/>
          <w:szCs w:val="22"/>
        </w:rPr>
        <w:t>culminó con</w:t>
      </w:r>
      <w:r w:rsidR="00514036">
        <w:rPr>
          <w:rFonts w:cs="Times New Roman"/>
          <w:szCs w:val="22"/>
        </w:rPr>
        <w:t xml:space="preserve"> una variación interanual del 11.9%</w:t>
      </w:r>
      <w:r w:rsidR="00C442F2">
        <w:rPr>
          <w:rFonts w:cs="Times New Roman"/>
          <w:szCs w:val="22"/>
        </w:rPr>
        <w:t>.</w:t>
      </w:r>
    </w:p>
    <w:p w14:paraId="43746041" w14:textId="77777777" w:rsidR="008E0F24" w:rsidRDefault="008E0F24" w:rsidP="00960F3C">
      <w:pPr>
        <w:rPr>
          <w:rFonts w:cs="Times New Roman"/>
          <w:szCs w:val="22"/>
        </w:rPr>
      </w:pPr>
    </w:p>
    <w:p w14:paraId="4463776A" w14:textId="23679F21" w:rsidR="008E0F24" w:rsidRDefault="00FC3786" w:rsidP="008E0F24">
      <w:pPr>
        <w:rPr>
          <w:rFonts w:cs="Times New Roman"/>
          <w:szCs w:val="22"/>
        </w:rPr>
      </w:pPr>
      <w:r>
        <w:rPr>
          <w:rFonts w:cs="Times New Roman"/>
          <w:szCs w:val="22"/>
        </w:rPr>
        <w:t>E</w:t>
      </w:r>
      <w:r w:rsidR="008E0F24">
        <w:rPr>
          <w:rFonts w:cs="Times New Roman"/>
          <w:szCs w:val="22"/>
        </w:rPr>
        <w:t xml:space="preserve">l mayor crecimiento interanual </w:t>
      </w:r>
      <w:r>
        <w:rPr>
          <w:rFonts w:cs="Times New Roman"/>
          <w:szCs w:val="22"/>
        </w:rPr>
        <w:t>proviene de</w:t>
      </w:r>
      <w:r w:rsidR="00C442F2" w:rsidRPr="00C442F2">
        <w:rPr>
          <w:rFonts w:cs="Times New Roman"/>
          <w:szCs w:val="22"/>
        </w:rPr>
        <w:t xml:space="preserve"> </w:t>
      </w:r>
      <w:r w:rsidR="00C442F2">
        <w:rPr>
          <w:rFonts w:cs="Times New Roman"/>
          <w:szCs w:val="22"/>
        </w:rPr>
        <w:t xml:space="preserve">los impuestos </w:t>
      </w:r>
      <w:r>
        <w:rPr>
          <w:rFonts w:cs="Times New Roman"/>
          <w:szCs w:val="22"/>
        </w:rPr>
        <w:t>con una tasa de variación del</w:t>
      </w:r>
      <w:r w:rsidR="00C442F2">
        <w:rPr>
          <w:rFonts w:cs="Times New Roman"/>
          <w:szCs w:val="22"/>
        </w:rPr>
        <w:t xml:space="preserve"> </w:t>
      </w:r>
      <w:r>
        <w:rPr>
          <w:rFonts w:cs="Times New Roman"/>
          <w:szCs w:val="22"/>
        </w:rPr>
        <w:t>9.4</w:t>
      </w:r>
      <w:r w:rsidR="00C442F2">
        <w:rPr>
          <w:rFonts w:cs="Times New Roman"/>
          <w:szCs w:val="22"/>
        </w:rPr>
        <w:t>% (Q</w:t>
      </w:r>
      <w:r w:rsidR="00A228B1" w:rsidRPr="00A228B1">
        <w:rPr>
          <w:rFonts w:cs="Times New Roman"/>
          <w:szCs w:val="22"/>
        </w:rPr>
        <w:t>3,940.3</w:t>
      </w:r>
      <w:r w:rsidR="00A228B1">
        <w:rPr>
          <w:rFonts w:cs="Times New Roman"/>
          <w:szCs w:val="22"/>
        </w:rPr>
        <w:t xml:space="preserve"> </w:t>
      </w:r>
      <w:r w:rsidR="00C442F2">
        <w:rPr>
          <w:rFonts w:cs="Times New Roman"/>
          <w:szCs w:val="22"/>
        </w:rPr>
        <w:t>millones)</w:t>
      </w:r>
      <w:r w:rsidR="008E0F24">
        <w:rPr>
          <w:rFonts w:cs="Times New Roman"/>
          <w:szCs w:val="22"/>
        </w:rPr>
        <w:t xml:space="preserve"> </w:t>
      </w:r>
      <w:r w:rsidR="00C442F2">
        <w:rPr>
          <w:rFonts w:cs="Times New Roman"/>
          <w:szCs w:val="22"/>
        </w:rPr>
        <w:t>seguido</w:t>
      </w:r>
      <w:r w:rsidR="00A228B1">
        <w:rPr>
          <w:rFonts w:cs="Times New Roman"/>
          <w:szCs w:val="22"/>
        </w:rPr>
        <w:t xml:space="preserve"> de</w:t>
      </w:r>
      <w:r w:rsidR="008E0F24">
        <w:rPr>
          <w:rFonts w:cs="Times New Roman"/>
          <w:szCs w:val="22"/>
        </w:rPr>
        <w:t xml:space="preserve"> las contribuciones sociales con </w:t>
      </w:r>
      <w:r w:rsidR="00A228B1">
        <w:rPr>
          <w:rFonts w:cs="Times New Roman"/>
          <w:szCs w:val="22"/>
        </w:rPr>
        <w:t xml:space="preserve">un crecimiento </w:t>
      </w:r>
      <w:r w:rsidR="008E0F24">
        <w:rPr>
          <w:rFonts w:cs="Times New Roman"/>
          <w:szCs w:val="22"/>
        </w:rPr>
        <w:t>de</w:t>
      </w:r>
      <w:r w:rsidR="00C442F2">
        <w:rPr>
          <w:rFonts w:cs="Times New Roman"/>
          <w:szCs w:val="22"/>
        </w:rPr>
        <w:t>l</w:t>
      </w:r>
      <w:r w:rsidR="008E0F24">
        <w:rPr>
          <w:rFonts w:cs="Times New Roman"/>
          <w:szCs w:val="22"/>
        </w:rPr>
        <w:t xml:space="preserve"> 1</w:t>
      </w:r>
      <w:r w:rsidR="00917D51">
        <w:rPr>
          <w:rFonts w:cs="Times New Roman"/>
          <w:szCs w:val="22"/>
        </w:rPr>
        <w:t>7</w:t>
      </w:r>
      <w:r w:rsidR="008E0F24">
        <w:rPr>
          <w:rFonts w:cs="Times New Roman"/>
          <w:szCs w:val="22"/>
        </w:rPr>
        <w:t>.</w:t>
      </w:r>
      <w:r w:rsidR="00917D51">
        <w:rPr>
          <w:rFonts w:cs="Times New Roman"/>
          <w:szCs w:val="22"/>
        </w:rPr>
        <w:t>1</w:t>
      </w:r>
      <w:r w:rsidR="008E0F24">
        <w:rPr>
          <w:rFonts w:cs="Times New Roman"/>
          <w:szCs w:val="22"/>
        </w:rPr>
        <w:t>% (Q</w:t>
      </w:r>
      <w:r w:rsidR="00917D51" w:rsidRPr="00917D51">
        <w:rPr>
          <w:rFonts w:cs="Times New Roman"/>
          <w:szCs w:val="22"/>
        </w:rPr>
        <w:t xml:space="preserve">398.1 </w:t>
      </w:r>
      <w:r w:rsidR="008E0F24">
        <w:rPr>
          <w:rFonts w:cs="Times New Roman"/>
          <w:szCs w:val="22"/>
        </w:rPr>
        <w:t>millones)</w:t>
      </w:r>
      <w:r w:rsidR="00917D51">
        <w:rPr>
          <w:rFonts w:cs="Times New Roman"/>
          <w:szCs w:val="22"/>
        </w:rPr>
        <w:t xml:space="preserve">, la categoría de otros ingresos se </w:t>
      </w:r>
      <w:r w:rsidR="005D19B7">
        <w:rPr>
          <w:rFonts w:cs="Times New Roman"/>
          <w:szCs w:val="22"/>
        </w:rPr>
        <w:t>incrementó</w:t>
      </w:r>
      <w:r w:rsidR="00917D51">
        <w:rPr>
          <w:rFonts w:cs="Times New Roman"/>
          <w:szCs w:val="22"/>
        </w:rPr>
        <w:t xml:space="preserve"> en </w:t>
      </w:r>
      <w:r w:rsidR="005D19B7">
        <w:rPr>
          <w:rFonts w:cs="Times New Roman"/>
          <w:szCs w:val="22"/>
        </w:rPr>
        <w:t>13.2% (Q160.1 millones)</w:t>
      </w:r>
      <w:r w:rsidR="00C442F2">
        <w:rPr>
          <w:rFonts w:cs="Times New Roman"/>
          <w:szCs w:val="22"/>
        </w:rPr>
        <w:t xml:space="preserve"> </w:t>
      </w:r>
      <w:r w:rsidR="008E0F24">
        <w:rPr>
          <w:rFonts w:cs="Times New Roman"/>
          <w:szCs w:val="22"/>
        </w:rPr>
        <w:t>y las donaciones</w:t>
      </w:r>
      <w:r w:rsidR="00C442F2">
        <w:rPr>
          <w:rFonts w:cs="Times New Roman"/>
          <w:szCs w:val="22"/>
        </w:rPr>
        <w:t xml:space="preserve"> </w:t>
      </w:r>
      <w:r w:rsidR="005D19B7">
        <w:rPr>
          <w:rFonts w:cs="Times New Roman"/>
          <w:szCs w:val="22"/>
        </w:rPr>
        <w:t xml:space="preserve">continúan mostrando </w:t>
      </w:r>
      <w:r w:rsidR="00C442F2">
        <w:rPr>
          <w:rFonts w:cs="Times New Roman"/>
          <w:szCs w:val="22"/>
        </w:rPr>
        <w:t xml:space="preserve">una </w:t>
      </w:r>
      <w:r w:rsidR="008E0F24">
        <w:rPr>
          <w:rFonts w:cs="Times New Roman"/>
          <w:szCs w:val="22"/>
        </w:rPr>
        <w:t>disminución</w:t>
      </w:r>
      <w:r w:rsidR="0042467B">
        <w:rPr>
          <w:rFonts w:cs="Times New Roman"/>
          <w:szCs w:val="22"/>
        </w:rPr>
        <w:t>,</w:t>
      </w:r>
      <w:r w:rsidR="008E0F24">
        <w:rPr>
          <w:rFonts w:cs="Times New Roman"/>
          <w:szCs w:val="22"/>
        </w:rPr>
        <w:t xml:space="preserve"> </w:t>
      </w:r>
      <w:r w:rsidR="00C442F2">
        <w:rPr>
          <w:rFonts w:cs="Times New Roman"/>
          <w:szCs w:val="22"/>
        </w:rPr>
        <w:t>siendo esta del</w:t>
      </w:r>
      <w:r w:rsidR="008E0F24">
        <w:rPr>
          <w:rFonts w:cs="Times New Roman"/>
          <w:szCs w:val="22"/>
        </w:rPr>
        <w:t xml:space="preserve"> </w:t>
      </w:r>
      <w:r w:rsidR="00F44D24">
        <w:rPr>
          <w:rFonts w:cs="Times New Roman"/>
          <w:szCs w:val="22"/>
        </w:rPr>
        <w:t>63</w:t>
      </w:r>
      <w:r w:rsidR="008E0F24">
        <w:rPr>
          <w:rFonts w:cs="Times New Roman"/>
          <w:szCs w:val="22"/>
        </w:rPr>
        <w:t>.</w:t>
      </w:r>
      <w:r w:rsidR="00F44D24">
        <w:rPr>
          <w:rFonts w:cs="Times New Roman"/>
          <w:szCs w:val="22"/>
        </w:rPr>
        <w:t>5</w:t>
      </w:r>
      <w:r w:rsidR="008E0F24">
        <w:rPr>
          <w:rFonts w:cs="Times New Roman"/>
          <w:szCs w:val="22"/>
        </w:rPr>
        <w:t>% (Q</w:t>
      </w:r>
      <w:r w:rsidR="00F44D24">
        <w:rPr>
          <w:rFonts w:cs="Times New Roman"/>
          <w:szCs w:val="22"/>
        </w:rPr>
        <w:t>30</w:t>
      </w:r>
      <w:r w:rsidR="008E0F24">
        <w:rPr>
          <w:rFonts w:cs="Times New Roman"/>
          <w:szCs w:val="22"/>
        </w:rPr>
        <w:t>.</w:t>
      </w:r>
      <w:r w:rsidR="00F44D24">
        <w:rPr>
          <w:rFonts w:cs="Times New Roman"/>
          <w:szCs w:val="22"/>
        </w:rPr>
        <w:t>6</w:t>
      </w:r>
      <w:r w:rsidR="008E0F24">
        <w:rPr>
          <w:rFonts w:cs="Times New Roman"/>
          <w:szCs w:val="22"/>
        </w:rPr>
        <w:t xml:space="preserve"> millones)</w:t>
      </w:r>
      <w:r w:rsidR="008E0F24" w:rsidRPr="00DB556E">
        <w:rPr>
          <w:rFonts w:cs="Times New Roman"/>
          <w:szCs w:val="22"/>
        </w:rPr>
        <w:t>.</w:t>
      </w:r>
    </w:p>
    <w:p w14:paraId="3C8D73F7" w14:textId="79C508A9" w:rsidR="00D550B4" w:rsidRPr="00FC4688" w:rsidRDefault="00D550B4" w:rsidP="000245CA">
      <w:pPr>
        <w:rPr>
          <w:rFonts w:cs="Times New Roman"/>
          <w:szCs w:val="22"/>
        </w:rPr>
      </w:pPr>
      <w:r w:rsidRPr="00FC4688">
        <w:rPr>
          <w:noProof/>
          <w:lang w:eastAsia="es-GT"/>
        </w:rPr>
        <w:drawing>
          <wp:inline distT="0" distB="0" distL="0" distR="0" wp14:anchorId="0B894B39" wp14:editId="5D23C26B">
            <wp:extent cx="5971540" cy="1711234"/>
            <wp:effectExtent l="0" t="0" r="0" b="381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A69E6E" w14:textId="77777777" w:rsidR="00D550B4" w:rsidRPr="00FC4688" w:rsidRDefault="00D550B4" w:rsidP="00672DC7">
      <w:pPr>
        <w:pStyle w:val="Prrafodelista"/>
        <w:ind w:left="0"/>
        <w:jc w:val="right"/>
      </w:pPr>
      <w:r w:rsidRPr="00FC4688">
        <w:t>*Cifras preliminares</w:t>
      </w:r>
    </w:p>
    <w:p w14:paraId="28189151" w14:textId="7E747C45" w:rsidR="00D550B4" w:rsidRPr="00FC4688" w:rsidRDefault="00D550B4" w:rsidP="00672DC7">
      <w:pPr>
        <w:pStyle w:val="Prrafodelista"/>
        <w:ind w:left="0"/>
        <w:jc w:val="right"/>
      </w:pPr>
      <w:r w:rsidRPr="00FC4688">
        <w:t xml:space="preserve"> Fuente: MINFIN</w:t>
      </w:r>
    </w:p>
    <w:p w14:paraId="7B785F6C" w14:textId="07602F2B" w:rsidR="002E7740" w:rsidRPr="00FC4688" w:rsidRDefault="004D09F5" w:rsidP="002E7740">
      <w:pPr>
        <w:pStyle w:val="Ttulo2"/>
        <w:numPr>
          <w:ilvl w:val="1"/>
          <w:numId w:val="11"/>
        </w:numPr>
        <w:tabs>
          <w:tab w:val="left" w:pos="426"/>
        </w:tabs>
        <w:spacing w:before="0"/>
        <w:ind w:left="284" w:hanging="284"/>
        <w:rPr>
          <w:rFonts w:ascii="Times New Roman" w:hAnsi="Times New Roman" w:cs="Times New Roman"/>
          <w:color w:val="auto"/>
          <w:sz w:val="24"/>
        </w:rPr>
      </w:pPr>
      <w:bookmarkStart w:id="44" w:name="_Toc141430920"/>
      <w:r>
        <w:rPr>
          <w:rFonts w:ascii="Times New Roman" w:hAnsi="Times New Roman" w:cs="Times New Roman"/>
          <w:color w:val="auto"/>
          <w:sz w:val="24"/>
        </w:rPr>
        <w:t xml:space="preserve">La recaudación </w:t>
      </w:r>
      <w:r w:rsidR="009E76CE">
        <w:rPr>
          <w:rFonts w:ascii="Times New Roman" w:hAnsi="Times New Roman" w:cs="Times New Roman"/>
          <w:color w:val="auto"/>
          <w:sz w:val="24"/>
        </w:rPr>
        <w:t>continúa</w:t>
      </w:r>
      <w:r w:rsidR="00EA2CAE">
        <w:rPr>
          <w:rFonts w:ascii="Times New Roman" w:hAnsi="Times New Roman" w:cs="Times New Roman"/>
          <w:color w:val="auto"/>
          <w:sz w:val="24"/>
        </w:rPr>
        <w:t xml:space="preserve"> </w:t>
      </w:r>
      <w:r w:rsidR="009E76CE">
        <w:rPr>
          <w:rFonts w:ascii="Times New Roman" w:hAnsi="Times New Roman" w:cs="Times New Roman"/>
          <w:color w:val="auto"/>
          <w:sz w:val="24"/>
        </w:rPr>
        <w:t>creciendo,</w:t>
      </w:r>
      <w:r w:rsidR="00B06CFB">
        <w:rPr>
          <w:rFonts w:ascii="Times New Roman" w:hAnsi="Times New Roman" w:cs="Times New Roman"/>
          <w:color w:val="auto"/>
          <w:sz w:val="24"/>
        </w:rPr>
        <w:t xml:space="preserve"> pero a un menor ritmo</w:t>
      </w:r>
      <w:bookmarkEnd w:id="44"/>
    </w:p>
    <w:p w14:paraId="1DCE054E" w14:textId="42D2F77F" w:rsidR="008F3637" w:rsidRDefault="00A31919" w:rsidP="00D04A8B">
      <w:r w:rsidRPr="00FC4688">
        <w:rPr>
          <w:noProof/>
          <w:lang w:eastAsia="es-GT"/>
        </w:rPr>
        <w:drawing>
          <wp:anchor distT="0" distB="0" distL="114300" distR="114300" simplePos="0" relativeHeight="251665412" behindDoc="0" locked="0" layoutInCell="1" allowOverlap="1" wp14:anchorId="1026A945" wp14:editId="514412C0">
            <wp:simplePos x="0" y="0"/>
            <wp:positionH relativeFrom="margin">
              <wp:align>right</wp:align>
            </wp:positionH>
            <wp:positionV relativeFrom="paragraph">
              <wp:posOffset>5715</wp:posOffset>
            </wp:positionV>
            <wp:extent cx="2875280" cy="4589780"/>
            <wp:effectExtent l="0" t="0" r="1270" b="1270"/>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AF7173">
        <w:t xml:space="preserve">Los ingresos producto de la recaudación de impuestos se sitúa en </w:t>
      </w:r>
      <w:r w:rsidR="00D04A8B" w:rsidRPr="00047106">
        <w:t>Q</w:t>
      </w:r>
      <w:r w:rsidR="0033743E" w:rsidRPr="0033743E">
        <w:t xml:space="preserve">45,786.5 </w:t>
      </w:r>
      <w:r w:rsidR="00D04A8B" w:rsidRPr="00047106">
        <w:t>millones</w:t>
      </w:r>
      <w:r w:rsidR="0033743E">
        <w:t xml:space="preserve"> y este es un crecimiento del</w:t>
      </w:r>
      <w:r w:rsidR="00D04A8B" w:rsidRPr="00047106">
        <w:t xml:space="preserve"> </w:t>
      </w:r>
      <w:r w:rsidR="001375B4">
        <w:t>9</w:t>
      </w:r>
      <w:r w:rsidR="00D04A8B">
        <w:t>.</w:t>
      </w:r>
      <w:r w:rsidR="001375B4">
        <w:t>4</w:t>
      </w:r>
      <w:r w:rsidR="00D04A8B">
        <w:t>%</w:t>
      </w:r>
      <w:r w:rsidR="00D04A8B" w:rsidRPr="00047106">
        <w:t xml:space="preserve"> (Q</w:t>
      </w:r>
      <w:r w:rsidR="001375B4" w:rsidRPr="001375B4">
        <w:t xml:space="preserve">3,940.3 </w:t>
      </w:r>
      <w:r w:rsidR="00D04A8B" w:rsidRPr="00047106">
        <w:t>millones)</w:t>
      </w:r>
      <w:r w:rsidR="00D04A8B">
        <w:t xml:space="preserve"> respecto al mismo periodo del año previo.</w:t>
      </w:r>
      <w:r w:rsidR="00D04A8B" w:rsidRPr="00047106">
        <w:t xml:space="preserve"> </w:t>
      </w:r>
    </w:p>
    <w:p w14:paraId="500F9FFF" w14:textId="7A0A20CA" w:rsidR="008F3637" w:rsidRDefault="008F3637" w:rsidP="00D04A8B"/>
    <w:p w14:paraId="7FAD3A32" w14:textId="3E0E39FA" w:rsidR="00F65163" w:rsidRDefault="00D04A8B" w:rsidP="00D04A8B">
      <w:r w:rsidRPr="00047106">
        <w:t xml:space="preserve">Los impuestos </w:t>
      </w:r>
      <w:r w:rsidR="00EC3353">
        <w:t>s</w:t>
      </w:r>
      <w:r w:rsidR="00F65163">
        <w:t xml:space="preserve">obre bienes y servicios son los que han tenido un </w:t>
      </w:r>
      <w:r w:rsidRPr="00047106">
        <w:t>mayor crecimiento</w:t>
      </w:r>
      <w:r w:rsidR="00F65163">
        <w:t xml:space="preserve">, situándose en </w:t>
      </w:r>
      <w:r w:rsidR="00063DE1">
        <w:t>una recaudación acumulada</w:t>
      </w:r>
      <w:r w:rsidR="00F65163">
        <w:t xml:space="preserve"> de Q</w:t>
      </w:r>
      <w:r w:rsidR="001D7269" w:rsidRPr="001D7269">
        <w:t>26,307.0</w:t>
      </w:r>
      <w:r w:rsidR="001D7269">
        <w:t xml:space="preserve"> millones y una tasa de variación del 7.8% (Q</w:t>
      </w:r>
      <w:r w:rsidR="001D7269" w:rsidRPr="001D7269">
        <w:t>1,909.5</w:t>
      </w:r>
      <w:r w:rsidR="001D7269">
        <w:t xml:space="preserve"> millones)</w:t>
      </w:r>
      <w:r w:rsidR="00063DE1">
        <w:t xml:space="preserve">. En esta categoría </w:t>
      </w:r>
      <w:r w:rsidR="0029018F">
        <w:t>el</w:t>
      </w:r>
      <w:r w:rsidR="004E0A5E">
        <w:t xml:space="preserve"> m</w:t>
      </w:r>
      <w:r w:rsidR="00464390">
        <w:t xml:space="preserve">ás </w:t>
      </w:r>
      <w:r w:rsidR="004E0A5E">
        <w:t>significativo es el IVA</w:t>
      </w:r>
      <w:r w:rsidR="003126EA">
        <w:t xml:space="preserve"> que presenta una </w:t>
      </w:r>
      <w:r w:rsidR="00E36EF1">
        <w:t xml:space="preserve">recaudación </w:t>
      </w:r>
      <w:r w:rsidR="003126EA">
        <w:t>a junio de Q</w:t>
      </w:r>
      <w:r w:rsidR="003126EA" w:rsidRPr="003126EA">
        <w:t>21,861.5</w:t>
      </w:r>
      <w:r w:rsidR="003126EA">
        <w:t xml:space="preserve"> millones, con una tasa de crecimiento del 7.5% (Q</w:t>
      </w:r>
      <w:r w:rsidR="004A0AA8" w:rsidRPr="004A0AA8">
        <w:t>1,516.1</w:t>
      </w:r>
      <w:r w:rsidR="004A0AA8">
        <w:t xml:space="preserve"> millones)</w:t>
      </w:r>
      <w:r w:rsidR="00C47615">
        <w:t>.</w:t>
      </w:r>
      <w:r w:rsidR="00622FC4">
        <w:t xml:space="preserve"> La recaudación restante </w:t>
      </w:r>
      <w:r w:rsidR="00001E2B">
        <w:t xml:space="preserve">dentro de esta </w:t>
      </w:r>
      <w:r w:rsidR="00097F39">
        <w:t>categoría</w:t>
      </w:r>
      <w:r w:rsidR="00001E2B">
        <w:t xml:space="preserve"> </w:t>
      </w:r>
      <w:r w:rsidR="00622FC4">
        <w:t xml:space="preserve">es producto de los impuestos selectivos </w:t>
      </w:r>
      <w:r w:rsidR="00840DCD">
        <w:t>por Q</w:t>
      </w:r>
      <w:r w:rsidR="00840DCD" w:rsidRPr="00840DCD">
        <w:t>3,026.7</w:t>
      </w:r>
      <w:r w:rsidR="00840DCD">
        <w:t xml:space="preserve"> </w:t>
      </w:r>
      <w:r w:rsidR="00DD556F">
        <w:t>millones</w:t>
      </w:r>
      <w:r w:rsidR="00464390">
        <w:t>,</w:t>
      </w:r>
      <w:r w:rsidR="00DD556F">
        <w:t xml:space="preserve"> con</w:t>
      </w:r>
      <w:r w:rsidR="00840DCD">
        <w:t xml:space="preserve"> un crecimiento de 6.9% (Q19</w:t>
      </w:r>
      <w:r w:rsidR="00706330">
        <w:t>5.9 millones), seguido de los impuestos sobre el uso de bienes y sobre el permiso para usar bienes</w:t>
      </w:r>
      <w:r w:rsidR="00464390">
        <w:t>,</w:t>
      </w:r>
      <w:r w:rsidR="00706330">
        <w:t xml:space="preserve"> con una recaudación de </w:t>
      </w:r>
      <w:r w:rsidR="000F2791">
        <w:t>Q</w:t>
      </w:r>
      <w:r w:rsidR="00706330">
        <w:t>1</w:t>
      </w:r>
      <w:r w:rsidR="000F2791">
        <w:t>,</w:t>
      </w:r>
      <w:r w:rsidR="00706330">
        <w:t>418.8</w:t>
      </w:r>
      <w:r w:rsidR="000F2791">
        <w:t xml:space="preserve"> millones </w:t>
      </w:r>
      <w:r w:rsidR="00464390">
        <w:t xml:space="preserve">y </w:t>
      </w:r>
      <w:r w:rsidR="000F2791">
        <w:t xml:space="preserve">un crecimiento de </w:t>
      </w:r>
      <w:r w:rsidR="00C6439F">
        <w:t>16</w:t>
      </w:r>
      <w:r w:rsidR="000F2791">
        <w:t>.</w:t>
      </w:r>
      <w:r w:rsidR="00C6439F">
        <w:t>2</w:t>
      </w:r>
      <w:r w:rsidR="000F2791">
        <w:t>% (Q197.5 millones)</w:t>
      </w:r>
      <w:r w:rsidR="00F120A9">
        <w:t>.</w:t>
      </w:r>
    </w:p>
    <w:p w14:paraId="661DABFF" w14:textId="77777777" w:rsidR="00F65163" w:rsidRDefault="00F65163" w:rsidP="00D04A8B"/>
    <w:p w14:paraId="4A009E88" w14:textId="331ED89D" w:rsidR="00D04A8B" w:rsidRPr="00FC4688" w:rsidRDefault="00583F80" w:rsidP="00D04A8B">
      <w:r>
        <w:t>L</w:t>
      </w:r>
      <w:r w:rsidR="00D04A8B" w:rsidRPr="00047106">
        <w:t>os</w:t>
      </w:r>
      <w:r w:rsidR="00D04A8B">
        <w:t xml:space="preserve"> impuestos sobre el ingreso, las utilidades y las ganancias de capital</w:t>
      </w:r>
      <w:r>
        <w:t xml:space="preserve"> son la segunda categoría con mayor crecimiento</w:t>
      </w:r>
      <w:r w:rsidR="00D04A8B">
        <w:t>, situándose en Q</w:t>
      </w:r>
      <w:r w:rsidR="00CC2F0F" w:rsidRPr="00CC2F0F">
        <w:t xml:space="preserve">17,126.2 </w:t>
      </w:r>
      <w:r w:rsidR="00CC2F0F">
        <w:t>millones</w:t>
      </w:r>
      <w:r w:rsidR="00D04A8B">
        <w:t xml:space="preserve"> con </w:t>
      </w:r>
      <w:r w:rsidR="00C442F2">
        <w:t xml:space="preserve">una </w:t>
      </w:r>
      <w:r w:rsidR="00D04A8B">
        <w:t>variación de</w:t>
      </w:r>
      <w:r w:rsidR="00C442F2">
        <w:t>l</w:t>
      </w:r>
      <w:r w:rsidR="00D04A8B">
        <w:t xml:space="preserve"> </w:t>
      </w:r>
      <w:r w:rsidR="00CC2F0F">
        <w:t>12</w:t>
      </w:r>
      <w:r w:rsidR="00D04A8B">
        <w:t>.</w:t>
      </w:r>
      <w:r w:rsidR="00CC2F0F">
        <w:t>4</w:t>
      </w:r>
      <w:r w:rsidR="00D04A8B">
        <w:t>% (Q</w:t>
      </w:r>
      <w:r w:rsidR="00865CB3" w:rsidRPr="00CC2F0F">
        <w:t xml:space="preserve">1,882.7 </w:t>
      </w:r>
      <w:r w:rsidR="00865CB3">
        <w:t>millones</w:t>
      </w:r>
      <w:r w:rsidR="00D04A8B" w:rsidRPr="00296063">
        <w:t>)</w:t>
      </w:r>
      <w:r w:rsidR="006E3552">
        <w:t xml:space="preserve"> de los cuales el impuesto aplicado a sociedades y otras empresas es </w:t>
      </w:r>
      <w:r w:rsidR="00464390">
        <w:t xml:space="preserve">el que </w:t>
      </w:r>
      <w:r w:rsidR="006E3552">
        <w:t xml:space="preserve">se </w:t>
      </w:r>
      <w:r w:rsidR="002121D2">
        <w:t>incrementó</w:t>
      </w:r>
      <w:r w:rsidR="006E3552">
        <w:t xml:space="preserve"> </w:t>
      </w:r>
      <w:r w:rsidR="002121D2">
        <w:t>en mayor medida por 12.9% (Q</w:t>
      </w:r>
      <w:r w:rsidR="00397030" w:rsidRPr="002121D2">
        <w:t xml:space="preserve">1,723.4 </w:t>
      </w:r>
      <w:r w:rsidR="00397030">
        <w:t>millones</w:t>
      </w:r>
      <w:r w:rsidR="002121D2">
        <w:t xml:space="preserve">) respecto a lo observado en el año previo y </w:t>
      </w:r>
      <w:r w:rsidR="00DF3858">
        <w:t>los asociados a personas físicas por 8.5% (Q159.3 millones).</w:t>
      </w:r>
    </w:p>
    <w:p w14:paraId="14CEAA9D" w14:textId="77777777" w:rsidR="00D04A8B" w:rsidRDefault="00D04A8B" w:rsidP="00D04A8B">
      <w:pPr>
        <w:pStyle w:val="Prrafodelista"/>
        <w:ind w:left="0"/>
        <w:rPr>
          <w:sz w:val="22"/>
        </w:rPr>
      </w:pPr>
    </w:p>
    <w:p w14:paraId="5A13B8C1" w14:textId="7C6F6C97" w:rsidR="00E63CB5" w:rsidRDefault="00E63CB5" w:rsidP="00D04A8B">
      <w:r>
        <w:t>En cuanto a</w:t>
      </w:r>
      <w:r w:rsidR="00D04A8B">
        <w:t xml:space="preserve"> l</w:t>
      </w:r>
      <w:r w:rsidR="00D04A8B" w:rsidRPr="00FC4688">
        <w:t xml:space="preserve">os impuestos </w:t>
      </w:r>
      <w:r w:rsidR="00D04A8B">
        <w:t>aplicados al</w:t>
      </w:r>
      <w:r w:rsidR="00D04A8B" w:rsidRPr="00FC4688">
        <w:t xml:space="preserve"> comercio y las transacciones internacionales se </w:t>
      </w:r>
      <w:r w:rsidR="00D04A8B">
        <w:t>situaron</w:t>
      </w:r>
      <w:r w:rsidR="00D04A8B" w:rsidRPr="00FC4688">
        <w:t xml:space="preserve"> en Q</w:t>
      </w:r>
      <w:r w:rsidR="004F6359" w:rsidRPr="0094568C">
        <w:t xml:space="preserve">2,051.3 </w:t>
      </w:r>
      <w:r w:rsidR="004F6359">
        <w:t>millones</w:t>
      </w:r>
      <w:r w:rsidR="0094568C">
        <w:t xml:space="preserve"> mostrando un crecimiento del 8.3% (</w:t>
      </w:r>
      <w:r w:rsidR="004F6359">
        <w:t>Q</w:t>
      </w:r>
      <w:r w:rsidR="0094568C">
        <w:t>157.6</w:t>
      </w:r>
      <w:r w:rsidR="004F6359">
        <w:t xml:space="preserve"> millones)</w:t>
      </w:r>
      <w:r>
        <w:t>.</w:t>
      </w:r>
      <w:r w:rsidR="004F6359">
        <w:t xml:space="preserve"> En esta categoría, los </w:t>
      </w:r>
      <w:r w:rsidR="00464390">
        <w:t>más</w:t>
      </w:r>
      <w:r w:rsidR="004F6359">
        <w:t xml:space="preserve"> significativos son los </w:t>
      </w:r>
      <w:r w:rsidR="00580C04">
        <w:t xml:space="preserve">Derechos de Aduana y otros derechos de </w:t>
      </w:r>
      <w:r w:rsidR="00AD1201">
        <w:t>importación (</w:t>
      </w:r>
      <w:r w:rsidR="00715CC6">
        <w:t xml:space="preserve">incluye a los </w:t>
      </w:r>
      <w:r w:rsidR="00580C04">
        <w:t>DAI) que ha recaudado Q</w:t>
      </w:r>
      <w:r w:rsidR="00580C04" w:rsidRPr="00580C04">
        <w:t>1,854.8</w:t>
      </w:r>
      <w:r w:rsidR="00E463DF">
        <w:t xml:space="preserve"> millones</w:t>
      </w:r>
      <w:r w:rsidR="00464390">
        <w:t>,</w:t>
      </w:r>
      <w:r w:rsidR="00E463DF">
        <w:t xml:space="preserve"> con una variación interanual del 6.6% (Q1</w:t>
      </w:r>
      <w:r w:rsidR="00E463DF" w:rsidRPr="00E463DF">
        <w:t>15.4</w:t>
      </w:r>
      <w:r w:rsidR="00E463DF">
        <w:t xml:space="preserve"> millones)</w:t>
      </w:r>
      <w:r w:rsidR="002A5E45">
        <w:t xml:space="preserve"> mientras que los </w:t>
      </w:r>
      <w:r w:rsidR="002A5E45" w:rsidRPr="002A5E45">
        <w:t>Otros impuestos sobre el comercio y las transacciones internacionales</w:t>
      </w:r>
      <w:r w:rsidR="002A5E45">
        <w:t xml:space="preserve"> muestran una recaudación de Q196.4 millones</w:t>
      </w:r>
      <w:r w:rsidR="00464390">
        <w:t>,</w:t>
      </w:r>
      <w:r w:rsidR="002A5E45">
        <w:t xml:space="preserve"> con un crecimiento de </w:t>
      </w:r>
      <w:r w:rsidR="007E4AEC">
        <w:t>27.3% (Q42.2 millones).</w:t>
      </w:r>
    </w:p>
    <w:p w14:paraId="4175D732" w14:textId="77777777" w:rsidR="00E63CB5" w:rsidRDefault="00E63CB5" w:rsidP="00D04A8B"/>
    <w:p w14:paraId="235FC32E" w14:textId="7416958A" w:rsidR="00D04A8B" w:rsidRPr="00FC4688" w:rsidRDefault="002E4B2F" w:rsidP="00D04A8B">
      <w:r>
        <w:t>E</w:t>
      </w:r>
      <w:r w:rsidR="00D04A8B">
        <w:t>n cuanto a los</w:t>
      </w:r>
      <w:r w:rsidR="00D04A8B" w:rsidRPr="00FC4688">
        <w:t xml:space="preserve"> impuestos sobre la propiedad</w:t>
      </w:r>
      <w:r w:rsidR="0042467B">
        <w:t>, su</w:t>
      </w:r>
      <w:r w:rsidR="00D04A8B">
        <w:t xml:space="preserve"> recaudación ascendió a Q</w:t>
      </w:r>
      <w:r w:rsidR="00AD1201">
        <w:t>15</w:t>
      </w:r>
      <w:r w:rsidR="00D04A8B">
        <w:t>.</w:t>
      </w:r>
      <w:r w:rsidR="00AD1201">
        <w:t>7</w:t>
      </w:r>
      <w:r w:rsidR="00D04A8B">
        <w:t xml:space="preserve"> millones</w:t>
      </w:r>
      <w:r w:rsidR="0042467B">
        <w:t xml:space="preserve"> y </w:t>
      </w:r>
      <w:r w:rsidR="00D04A8B">
        <w:t>muestra</w:t>
      </w:r>
      <w:r w:rsidR="0042467B">
        <w:t xml:space="preserve"> una</w:t>
      </w:r>
      <w:r w:rsidR="00D04A8B">
        <w:t xml:space="preserve"> </w:t>
      </w:r>
      <w:r w:rsidR="00AD1201">
        <w:t>disminución interanual del 10% (</w:t>
      </w:r>
      <w:r w:rsidR="00D04A8B" w:rsidRPr="00FC4688">
        <w:t>Q</w:t>
      </w:r>
      <w:r w:rsidR="004E51E7">
        <w:t>1.7</w:t>
      </w:r>
      <w:r w:rsidR="00D04A8B" w:rsidRPr="00FC4688">
        <w:t xml:space="preserve"> millones)</w:t>
      </w:r>
      <w:r w:rsidR="0030562D">
        <w:t xml:space="preserve"> producto principalmente de </w:t>
      </w:r>
      <w:r w:rsidR="00886AD4">
        <w:t xml:space="preserve">los impuestos sobre sucesiones, herencias y regalos que a junio a recaudado </w:t>
      </w:r>
      <w:r w:rsidR="00464390">
        <w:t>Q</w:t>
      </w:r>
      <w:r w:rsidR="00886AD4">
        <w:t xml:space="preserve">15.1 millones con una variación interanual negativa de </w:t>
      </w:r>
      <w:r w:rsidR="00E93E6D">
        <w:t>10.5% (Q1.8 millones)</w:t>
      </w:r>
      <w:r w:rsidR="00464390">
        <w:t>,</w:t>
      </w:r>
      <w:r w:rsidR="00E93E6D">
        <w:t xml:space="preserve"> mientras que el impuesto sobres </w:t>
      </w:r>
      <w:r w:rsidR="00C57A2E">
        <w:t>la propiedad inmueble asciende a Q0.6 millones sin presentar una diferencia significativa respecto al año previo</w:t>
      </w:r>
      <w:r w:rsidR="00D04A8B">
        <w:t>.</w:t>
      </w:r>
    </w:p>
    <w:p w14:paraId="2BCF7542" w14:textId="77777777" w:rsidR="00D04A8B" w:rsidRPr="00FC4688" w:rsidRDefault="00D04A8B" w:rsidP="00D04A8B"/>
    <w:p w14:paraId="6521FD85" w14:textId="6CBDB75F" w:rsidR="00A6565E" w:rsidRDefault="00D9215D" w:rsidP="00F67E17">
      <w:r>
        <w:t xml:space="preserve">Por su parte, la categoría de otros impuestos asciende a Q286.4 millones con una disminución </w:t>
      </w:r>
      <w:r w:rsidR="00C14121">
        <w:t>del 2.6% (Q7.7 millones).</w:t>
      </w:r>
    </w:p>
    <w:p w14:paraId="7655B80F" w14:textId="77777777" w:rsidR="00C14121" w:rsidRDefault="00C14121" w:rsidP="00F67E17"/>
    <w:p w14:paraId="2B3DE9DD" w14:textId="77777777" w:rsidR="00C14121" w:rsidRDefault="00C14121" w:rsidP="00F67E17"/>
    <w:p w14:paraId="13A9A49F" w14:textId="77777777" w:rsidR="005B5A6B" w:rsidRDefault="005B5A6B" w:rsidP="00F67E17">
      <w:bookmarkStart w:id="45" w:name="_Toc31612759"/>
      <w:bookmarkStart w:id="46" w:name="_Toc31612791"/>
      <w:bookmarkStart w:id="47" w:name="_Toc31614817"/>
      <w:bookmarkStart w:id="48" w:name="_Toc31614849"/>
      <w:bookmarkStart w:id="49" w:name="_Toc31618686"/>
      <w:bookmarkStart w:id="50" w:name="_Toc31618719"/>
      <w:bookmarkStart w:id="51" w:name="_Toc31624495"/>
      <w:bookmarkStart w:id="52" w:name="_Toc31625347"/>
      <w:bookmarkStart w:id="53" w:name="_Toc31626802"/>
      <w:bookmarkStart w:id="54" w:name="_Toc31811253"/>
      <w:bookmarkStart w:id="55" w:name="_Toc31811698"/>
      <w:bookmarkStart w:id="56" w:name="_Toc31971861"/>
      <w:bookmarkStart w:id="57" w:name="_Toc32230883"/>
      <w:bookmarkStart w:id="58" w:name="_Toc33109782"/>
      <w:bookmarkStart w:id="59" w:name="_Toc33109825"/>
      <w:bookmarkStart w:id="60" w:name="_Toc33180546"/>
      <w:bookmarkStart w:id="61" w:name="_Toc33180640"/>
      <w:bookmarkStart w:id="62" w:name="_Toc33193537"/>
      <w:bookmarkStart w:id="63" w:name="_Toc33193576"/>
      <w:bookmarkStart w:id="64" w:name="_Toc33196773"/>
      <w:bookmarkStart w:id="65" w:name="_Toc40691749"/>
      <w:bookmarkStart w:id="66" w:name="_Toc40959152"/>
      <w:bookmarkStart w:id="67" w:name="_Toc40975986"/>
      <w:bookmarkStart w:id="68" w:name="_Toc40976055"/>
      <w:bookmarkStart w:id="69" w:name="_Toc40993310"/>
      <w:bookmarkStart w:id="70" w:name="_Toc40993692"/>
      <w:bookmarkStart w:id="71" w:name="_Toc41037568"/>
      <w:bookmarkStart w:id="72" w:name="_Toc41254128"/>
      <w:bookmarkStart w:id="73" w:name="_Toc41254160"/>
      <w:bookmarkStart w:id="74" w:name="_Toc41254180"/>
      <w:bookmarkStart w:id="75" w:name="_Toc42023953"/>
      <w:bookmarkStart w:id="76" w:name="_Toc42024006"/>
      <w:bookmarkStart w:id="77" w:name="_Toc42069104"/>
      <w:bookmarkStart w:id="78" w:name="_Toc49422050"/>
      <w:bookmarkStart w:id="79" w:name="_Toc49422076"/>
      <w:bookmarkStart w:id="80" w:name="_Toc49430655"/>
      <w:bookmarkStart w:id="81" w:name="_Toc49430681"/>
      <w:bookmarkStart w:id="82" w:name="_Toc49750458"/>
      <w:bookmarkStart w:id="83" w:name="_Toc49750708"/>
      <w:bookmarkStart w:id="84" w:name="_Toc49750736"/>
      <w:bookmarkStart w:id="85" w:name="_Toc55284822"/>
      <w:bookmarkStart w:id="86" w:name="_Toc55298840"/>
      <w:bookmarkStart w:id="87" w:name="_Toc55373821"/>
      <w:bookmarkStart w:id="88" w:name="_Toc55373994"/>
      <w:bookmarkStart w:id="89" w:name="_Toc55375131"/>
      <w:bookmarkStart w:id="90" w:name="_Toc55396539"/>
      <w:bookmarkStart w:id="91" w:name="_Toc65230535"/>
      <w:bookmarkStart w:id="92" w:name="_Toc65230773"/>
      <w:bookmarkStart w:id="93" w:name="_Toc65232057"/>
      <w:bookmarkStart w:id="94" w:name="_Toc65232302"/>
      <w:bookmarkStart w:id="95" w:name="_Toc66716161"/>
      <w:bookmarkStart w:id="96" w:name="_Toc71097206"/>
      <w:bookmarkStart w:id="97" w:name="_Toc71097237"/>
      <w:bookmarkStart w:id="98" w:name="_Toc71097312"/>
      <w:bookmarkStart w:id="99" w:name="_Toc71108052"/>
      <w:bookmarkStart w:id="100" w:name="_Toc79055246"/>
      <w:bookmarkStart w:id="101" w:name="_Toc79055277"/>
      <w:bookmarkStart w:id="102" w:name="_Toc79060168"/>
      <w:bookmarkStart w:id="103" w:name="_Toc79060455"/>
      <w:bookmarkStart w:id="104" w:name="_Toc81307812"/>
      <w:bookmarkStart w:id="105" w:name="_Toc83376473"/>
      <w:bookmarkStart w:id="106" w:name="_Toc86386712"/>
      <w:bookmarkStart w:id="107" w:name="_Toc86405398"/>
      <w:bookmarkStart w:id="108" w:name="_Toc98162428"/>
      <w:bookmarkStart w:id="109" w:name="_Toc98162460"/>
      <w:bookmarkStart w:id="110" w:name="_Toc98234986"/>
      <w:bookmarkStart w:id="111" w:name="_Toc98235181"/>
      <w:bookmarkStart w:id="112" w:name="_Toc98235266"/>
      <w:bookmarkStart w:id="113" w:name="_Toc98757136"/>
      <w:bookmarkStart w:id="114" w:name="_Toc101874691"/>
      <w:bookmarkStart w:id="115" w:name="_Toc101954147"/>
      <w:bookmarkStart w:id="116" w:name="_Toc101971964"/>
      <w:bookmarkStart w:id="117" w:name="_Toc101974056"/>
      <w:bookmarkStart w:id="118" w:name="_Toc102039741"/>
      <w:bookmarkStart w:id="119" w:name="_Toc102039779"/>
      <w:bookmarkStart w:id="120" w:name="_Toc102039819"/>
      <w:bookmarkStart w:id="121" w:name="_Toc102039850"/>
      <w:bookmarkStart w:id="122" w:name="_Toc102040908"/>
      <w:bookmarkStart w:id="123" w:name="_Toc102477756"/>
      <w:bookmarkStart w:id="124" w:name="_Toc102477787"/>
      <w:bookmarkStart w:id="125" w:name="_Toc109824817"/>
      <w:bookmarkStart w:id="126" w:name="_Toc109828773"/>
      <w:bookmarkStart w:id="127" w:name="_Toc109828836"/>
      <w:bookmarkStart w:id="128" w:name="_Toc109829012"/>
      <w:bookmarkStart w:id="129" w:name="_Toc109829043"/>
      <w:bookmarkStart w:id="130" w:name="_Toc109833887"/>
      <w:bookmarkStart w:id="131" w:name="_Toc110237430"/>
      <w:bookmarkStart w:id="132" w:name="_Toc117775307"/>
      <w:bookmarkStart w:id="133" w:name="_Toc117781276"/>
      <w:bookmarkStart w:id="134" w:name="_Toc125620805"/>
      <w:bookmarkStart w:id="135" w:name="_Toc125620836"/>
      <w:bookmarkStart w:id="136" w:name="_Toc125620867"/>
      <w:bookmarkStart w:id="137" w:name="_Toc125620903"/>
      <w:bookmarkStart w:id="138" w:name="_Toc125620934"/>
      <w:bookmarkStart w:id="139" w:name="_Toc125620967"/>
      <w:bookmarkStart w:id="140" w:name="_Toc125621020"/>
      <w:bookmarkStart w:id="141" w:name="_Toc125621074"/>
      <w:bookmarkStart w:id="142" w:name="_Toc125623552"/>
      <w:bookmarkStart w:id="143" w:name="_Toc125623584"/>
      <w:bookmarkStart w:id="144" w:name="_Toc125623616"/>
      <w:bookmarkStart w:id="145" w:name="_Toc125970362"/>
      <w:bookmarkStart w:id="146" w:name="_Toc125970394"/>
      <w:bookmarkStart w:id="147" w:name="_Toc127365845"/>
      <w:bookmarkStart w:id="148" w:name="_Toc127434597"/>
      <w:bookmarkStart w:id="149" w:name="_Toc127436964"/>
      <w:bookmarkStart w:id="150" w:name="_Toc127437326"/>
      <w:bookmarkStart w:id="151" w:name="_Toc127437679"/>
      <w:bookmarkStart w:id="152" w:name="_Toc133492773"/>
      <w:bookmarkStart w:id="153" w:name="_Toc133492970"/>
      <w:bookmarkStart w:id="154" w:name="_Toc133493192"/>
      <w:bookmarkStart w:id="155" w:name="_Toc133497826"/>
      <w:bookmarkStart w:id="156" w:name="_Toc133505546"/>
      <w:bookmarkStart w:id="157" w:name="_Toc133576124"/>
      <w:bookmarkStart w:id="158" w:name="_Toc133576196"/>
      <w:bookmarkStart w:id="159" w:name="_Toc133576229"/>
      <w:bookmarkStart w:id="160" w:name="_Toc133576261"/>
      <w:bookmarkStart w:id="161" w:name="_Toc133576293"/>
      <w:bookmarkStart w:id="162" w:name="_Toc133576325"/>
      <w:bookmarkStart w:id="163" w:name="_Toc133576378"/>
      <w:bookmarkStart w:id="164" w:name="_Toc133576411"/>
      <w:bookmarkStart w:id="165" w:name="_Toc133576445"/>
      <w:bookmarkStart w:id="166" w:name="_Toc133576478"/>
      <w:bookmarkStart w:id="167" w:name="_Toc141108737"/>
      <w:bookmarkStart w:id="168" w:name="_Toc141172978"/>
      <w:bookmarkStart w:id="169" w:name="_Toc141277675"/>
      <w:bookmarkStart w:id="170" w:name="_Toc141277707"/>
      <w:bookmarkStart w:id="171" w:name="_Toc141430921"/>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6C9C90FC" w14:textId="77777777" w:rsidR="005B5A6B" w:rsidRDefault="005B5A6B" w:rsidP="00F67E17"/>
    <w:p w14:paraId="7E0B5894" w14:textId="77777777" w:rsidR="00E66A98" w:rsidRPr="00FC4688" w:rsidRDefault="00E66A98" w:rsidP="00E66A98">
      <w:pPr>
        <w:pStyle w:val="Prrafodelista"/>
        <w:numPr>
          <w:ilvl w:val="0"/>
          <w:numId w:val="32"/>
        </w:numPr>
        <w:outlineLvl w:val="2"/>
        <w:rPr>
          <w:rFonts w:cs="Times New Roman"/>
          <w:b/>
          <w:vanish/>
          <w:lang w:val="es-MX"/>
        </w:rPr>
      </w:pPr>
    </w:p>
    <w:p w14:paraId="14523242" w14:textId="77777777" w:rsidR="00E66A98" w:rsidRPr="00FC4688" w:rsidRDefault="00E66A98" w:rsidP="00E66A98">
      <w:pPr>
        <w:pStyle w:val="Prrafodelista"/>
        <w:numPr>
          <w:ilvl w:val="1"/>
          <w:numId w:val="32"/>
        </w:numPr>
        <w:outlineLvl w:val="2"/>
        <w:rPr>
          <w:rFonts w:cs="Times New Roman"/>
          <w:b/>
          <w:vanish/>
          <w:lang w:val="es-MX"/>
        </w:rPr>
      </w:pPr>
      <w:bookmarkStart w:id="172" w:name="_Toc31612760"/>
      <w:bookmarkStart w:id="173" w:name="_Toc31612792"/>
      <w:bookmarkStart w:id="174" w:name="_Toc31614818"/>
      <w:bookmarkStart w:id="175" w:name="_Toc31614850"/>
      <w:bookmarkStart w:id="176" w:name="_Toc31618687"/>
      <w:bookmarkStart w:id="177" w:name="_Toc31618720"/>
      <w:bookmarkStart w:id="178" w:name="_Toc31624496"/>
      <w:bookmarkStart w:id="179" w:name="_Toc31625348"/>
      <w:bookmarkStart w:id="180" w:name="_Toc31626803"/>
      <w:bookmarkStart w:id="181" w:name="_Toc31811254"/>
      <w:bookmarkStart w:id="182" w:name="_Toc31811699"/>
      <w:bookmarkStart w:id="183" w:name="_Toc31971862"/>
      <w:bookmarkStart w:id="184" w:name="_Toc32230884"/>
      <w:bookmarkStart w:id="185" w:name="_Toc33109783"/>
      <w:bookmarkStart w:id="186" w:name="_Toc33109826"/>
      <w:bookmarkStart w:id="187" w:name="_Toc33180547"/>
      <w:bookmarkStart w:id="188" w:name="_Toc33180641"/>
      <w:bookmarkStart w:id="189" w:name="_Toc33193538"/>
      <w:bookmarkStart w:id="190" w:name="_Toc33193577"/>
      <w:bookmarkStart w:id="191" w:name="_Toc33196774"/>
      <w:bookmarkStart w:id="192" w:name="_Toc40691750"/>
      <w:bookmarkStart w:id="193" w:name="_Toc40959153"/>
      <w:bookmarkStart w:id="194" w:name="_Toc40975987"/>
      <w:bookmarkStart w:id="195" w:name="_Toc40976056"/>
      <w:bookmarkStart w:id="196" w:name="_Toc40993311"/>
      <w:bookmarkStart w:id="197" w:name="_Toc40993693"/>
      <w:bookmarkStart w:id="198" w:name="_Toc41037569"/>
      <w:bookmarkStart w:id="199" w:name="_Toc41254129"/>
      <w:bookmarkStart w:id="200" w:name="_Toc41254161"/>
      <w:bookmarkStart w:id="201" w:name="_Toc41254181"/>
      <w:bookmarkStart w:id="202" w:name="_Toc42023954"/>
      <w:bookmarkStart w:id="203" w:name="_Toc42024007"/>
      <w:bookmarkStart w:id="204" w:name="_Toc42069105"/>
      <w:bookmarkStart w:id="205" w:name="_Toc49422051"/>
      <w:bookmarkStart w:id="206" w:name="_Toc49422077"/>
      <w:bookmarkStart w:id="207" w:name="_Toc49430656"/>
      <w:bookmarkStart w:id="208" w:name="_Toc49430682"/>
      <w:bookmarkStart w:id="209" w:name="_Toc49750459"/>
      <w:bookmarkStart w:id="210" w:name="_Toc49750709"/>
      <w:bookmarkStart w:id="211" w:name="_Toc49750737"/>
      <w:bookmarkStart w:id="212" w:name="_Toc55284823"/>
      <w:bookmarkStart w:id="213" w:name="_Toc55298841"/>
      <w:bookmarkStart w:id="214" w:name="_Toc55373822"/>
      <w:bookmarkStart w:id="215" w:name="_Toc55373995"/>
      <w:bookmarkStart w:id="216" w:name="_Toc55375132"/>
      <w:bookmarkStart w:id="217" w:name="_Toc55396540"/>
      <w:bookmarkStart w:id="218" w:name="_Toc65230536"/>
      <w:bookmarkStart w:id="219" w:name="_Toc65230774"/>
      <w:bookmarkStart w:id="220" w:name="_Toc65232058"/>
      <w:bookmarkStart w:id="221" w:name="_Toc65232303"/>
      <w:bookmarkStart w:id="222" w:name="_Toc66716162"/>
      <w:bookmarkStart w:id="223" w:name="_Toc71097207"/>
      <w:bookmarkStart w:id="224" w:name="_Toc71097238"/>
      <w:bookmarkStart w:id="225" w:name="_Toc71097313"/>
      <w:bookmarkStart w:id="226" w:name="_Toc71108053"/>
      <w:bookmarkStart w:id="227" w:name="_Toc79055247"/>
      <w:bookmarkStart w:id="228" w:name="_Toc79055278"/>
      <w:bookmarkStart w:id="229" w:name="_Toc79060169"/>
      <w:bookmarkStart w:id="230" w:name="_Toc79060456"/>
      <w:bookmarkStart w:id="231" w:name="_Toc81307813"/>
      <w:bookmarkStart w:id="232" w:name="_Toc83376474"/>
      <w:bookmarkStart w:id="233" w:name="_Toc86386713"/>
      <w:bookmarkStart w:id="234" w:name="_Toc86405399"/>
      <w:bookmarkStart w:id="235" w:name="_Toc98162429"/>
      <w:bookmarkStart w:id="236" w:name="_Toc98162461"/>
      <w:bookmarkStart w:id="237" w:name="_Toc98234987"/>
      <w:bookmarkStart w:id="238" w:name="_Toc98235182"/>
      <w:bookmarkStart w:id="239" w:name="_Toc98235267"/>
      <w:bookmarkStart w:id="240" w:name="_Toc98757137"/>
      <w:bookmarkStart w:id="241" w:name="_Toc101874692"/>
      <w:bookmarkStart w:id="242" w:name="_Toc101954148"/>
      <w:bookmarkStart w:id="243" w:name="_Toc101971965"/>
      <w:bookmarkStart w:id="244" w:name="_Toc101974057"/>
      <w:bookmarkStart w:id="245" w:name="_Toc102039742"/>
      <w:bookmarkStart w:id="246" w:name="_Toc102039780"/>
      <w:bookmarkStart w:id="247" w:name="_Toc102039820"/>
      <w:bookmarkStart w:id="248" w:name="_Toc102039851"/>
      <w:bookmarkStart w:id="249" w:name="_Toc102040909"/>
      <w:bookmarkStart w:id="250" w:name="_Toc102477757"/>
      <w:bookmarkStart w:id="251" w:name="_Toc102477788"/>
      <w:bookmarkStart w:id="252" w:name="_Toc109824818"/>
      <w:bookmarkStart w:id="253" w:name="_Toc109828774"/>
      <w:bookmarkStart w:id="254" w:name="_Toc109828837"/>
      <w:bookmarkStart w:id="255" w:name="_Toc109829013"/>
      <w:bookmarkStart w:id="256" w:name="_Toc109829044"/>
      <w:bookmarkStart w:id="257" w:name="_Toc109833888"/>
      <w:bookmarkStart w:id="258" w:name="_Toc110237431"/>
      <w:bookmarkStart w:id="259" w:name="_Toc117775308"/>
      <w:bookmarkStart w:id="260" w:name="_Toc117781277"/>
      <w:bookmarkStart w:id="261" w:name="_Toc125620806"/>
      <w:bookmarkStart w:id="262" w:name="_Toc125620837"/>
      <w:bookmarkStart w:id="263" w:name="_Toc125620868"/>
      <w:bookmarkStart w:id="264" w:name="_Toc125620904"/>
      <w:bookmarkStart w:id="265" w:name="_Toc125620935"/>
      <w:bookmarkStart w:id="266" w:name="_Toc125620968"/>
      <w:bookmarkStart w:id="267" w:name="_Toc125621021"/>
      <w:bookmarkStart w:id="268" w:name="_Toc125621075"/>
      <w:bookmarkStart w:id="269" w:name="_Toc125623553"/>
      <w:bookmarkStart w:id="270" w:name="_Toc125623585"/>
      <w:bookmarkStart w:id="271" w:name="_Toc125623617"/>
      <w:bookmarkStart w:id="272" w:name="_Toc125970363"/>
      <w:bookmarkStart w:id="273" w:name="_Toc125970395"/>
      <w:bookmarkStart w:id="274" w:name="_Toc127365846"/>
      <w:bookmarkStart w:id="275" w:name="_Toc127434598"/>
      <w:bookmarkStart w:id="276" w:name="_Toc127436965"/>
      <w:bookmarkStart w:id="277" w:name="_Toc127437327"/>
      <w:bookmarkStart w:id="278" w:name="_Toc127437680"/>
      <w:bookmarkStart w:id="279" w:name="_Toc133492774"/>
      <w:bookmarkStart w:id="280" w:name="_Toc133492971"/>
      <w:bookmarkStart w:id="281" w:name="_Toc133493193"/>
      <w:bookmarkStart w:id="282" w:name="_Toc133497827"/>
      <w:bookmarkStart w:id="283" w:name="_Toc133505547"/>
      <w:bookmarkStart w:id="284" w:name="_Toc133576125"/>
      <w:bookmarkStart w:id="285" w:name="_Toc133576197"/>
      <w:bookmarkStart w:id="286" w:name="_Toc133576230"/>
      <w:bookmarkStart w:id="287" w:name="_Toc133576262"/>
      <w:bookmarkStart w:id="288" w:name="_Toc133576294"/>
      <w:bookmarkStart w:id="289" w:name="_Toc133576326"/>
      <w:bookmarkStart w:id="290" w:name="_Toc133576379"/>
      <w:bookmarkStart w:id="291" w:name="_Toc133576412"/>
      <w:bookmarkStart w:id="292" w:name="_Toc133576446"/>
      <w:bookmarkStart w:id="293" w:name="_Toc133576479"/>
      <w:bookmarkStart w:id="294" w:name="_Toc141108738"/>
      <w:bookmarkStart w:id="295" w:name="_Toc141172979"/>
      <w:bookmarkStart w:id="296" w:name="_Toc141277676"/>
      <w:bookmarkStart w:id="297" w:name="_Toc141277708"/>
      <w:bookmarkStart w:id="298" w:name="_Toc141430922"/>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305ED7A2" w14:textId="77777777" w:rsidR="00E66A98" w:rsidRPr="00FC4688" w:rsidRDefault="00E66A98" w:rsidP="00E66A98">
      <w:pPr>
        <w:pStyle w:val="Prrafodelista"/>
        <w:numPr>
          <w:ilvl w:val="1"/>
          <w:numId w:val="32"/>
        </w:numPr>
        <w:outlineLvl w:val="2"/>
        <w:rPr>
          <w:rFonts w:cs="Times New Roman"/>
          <w:b/>
          <w:vanish/>
          <w:lang w:val="es-MX"/>
        </w:rPr>
      </w:pPr>
      <w:bookmarkStart w:id="299" w:name="_Toc31612761"/>
      <w:bookmarkStart w:id="300" w:name="_Toc31612793"/>
      <w:bookmarkStart w:id="301" w:name="_Toc31614819"/>
      <w:bookmarkStart w:id="302" w:name="_Toc31614851"/>
      <w:bookmarkStart w:id="303" w:name="_Toc31618688"/>
      <w:bookmarkStart w:id="304" w:name="_Toc31618721"/>
      <w:bookmarkStart w:id="305" w:name="_Toc31624497"/>
      <w:bookmarkStart w:id="306" w:name="_Toc31625349"/>
      <w:bookmarkStart w:id="307" w:name="_Toc31626804"/>
      <w:bookmarkStart w:id="308" w:name="_Toc31811255"/>
      <w:bookmarkStart w:id="309" w:name="_Toc31811700"/>
      <w:bookmarkStart w:id="310" w:name="_Toc31971863"/>
      <w:bookmarkStart w:id="311" w:name="_Toc32230885"/>
      <w:bookmarkStart w:id="312" w:name="_Toc33109784"/>
      <w:bookmarkStart w:id="313" w:name="_Toc33109827"/>
      <w:bookmarkStart w:id="314" w:name="_Toc33180548"/>
      <w:bookmarkStart w:id="315" w:name="_Toc33180642"/>
      <w:bookmarkStart w:id="316" w:name="_Toc33193539"/>
      <w:bookmarkStart w:id="317" w:name="_Toc33193578"/>
      <w:bookmarkStart w:id="318" w:name="_Toc33196775"/>
      <w:bookmarkStart w:id="319" w:name="_Toc40691751"/>
      <w:bookmarkStart w:id="320" w:name="_Toc40959154"/>
      <w:bookmarkStart w:id="321" w:name="_Toc40975988"/>
      <w:bookmarkStart w:id="322" w:name="_Toc40976057"/>
      <w:bookmarkStart w:id="323" w:name="_Toc40993312"/>
      <w:bookmarkStart w:id="324" w:name="_Toc40993694"/>
      <w:bookmarkStart w:id="325" w:name="_Toc41037570"/>
      <w:bookmarkStart w:id="326" w:name="_Toc41254130"/>
      <w:bookmarkStart w:id="327" w:name="_Toc41254162"/>
      <w:bookmarkStart w:id="328" w:name="_Toc41254182"/>
      <w:bookmarkStart w:id="329" w:name="_Toc42023955"/>
      <w:bookmarkStart w:id="330" w:name="_Toc42024008"/>
      <w:bookmarkStart w:id="331" w:name="_Toc42069106"/>
      <w:bookmarkStart w:id="332" w:name="_Toc49422052"/>
      <w:bookmarkStart w:id="333" w:name="_Toc49422078"/>
      <w:bookmarkStart w:id="334" w:name="_Toc49430657"/>
      <w:bookmarkStart w:id="335" w:name="_Toc49430683"/>
      <w:bookmarkStart w:id="336" w:name="_Toc49750460"/>
      <w:bookmarkStart w:id="337" w:name="_Toc49750710"/>
      <w:bookmarkStart w:id="338" w:name="_Toc49750738"/>
      <w:bookmarkStart w:id="339" w:name="_Toc55284824"/>
      <w:bookmarkStart w:id="340" w:name="_Toc55298842"/>
      <w:bookmarkStart w:id="341" w:name="_Toc55373823"/>
      <w:bookmarkStart w:id="342" w:name="_Toc55373996"/>
      <w:bookmarkStart w:id="343" w:name="_Toc55375133"/>
      <w:bookmarkStart w:id="344" w:name="_Toc55396541"/>
      <w:bookmarkStart w:id="345" w:name="_Toc65230537"/>
      <w:bookmarkStart w:id="346" w:name="_Toc65230775"/>
      <w:bookmarkStart w:id="347" w:name="_Toc65232059"/>
      <w:bookmarkStart w:id="348" w:name="_Toc65232304"/>
      <w:bookmarkStart w:id="349" w:name="_Toc66716163"/>
      <w:bookmarkStart w:id="350" w:name="_Toc71097208"/>
      <w:bookmarkStart w:id="351" w:name="_Toc71097239"/>
      <w:bookmarkStart w:id="352" w:name="_Toc71097314"/>
      <w:bookmarkStart w:id="353" w:name="_Toc71108054"/>
      <w:bookmarkStart w:id="354" w:name="_Toc79055248"/>
      <w:bookmarkStart w:id="355" w:name="_Toc79055279"/>
      <w:bookmarkStart w:id="356" w:name="_Toc79060170"/>
      <w:bookmarkStart w:id="357" w:name="_Toc79060457"/>
      <w:bookmarkStart w:id="358" w:name="_Toc81307814"/>
      <w:bookmarkStart w:id="359" w:name="_Toc83376475"/>
      <w:bookmarkStart w:id="360" w:name="_Toc86386714"/>
      <w:bookmarkStart w:id="361" w:name="_Toc86405400"/>
      <w:bookmarkStart w:id="362" w:name="_Toc98162430"/>
      <w:bookmarkStart w:id="363" w:name="_Toc98162462"/>
      <w:bookmarkStart w:id="364" w:name="_Toc98234988"/>
      <w:bookmarkStart w:id="365" w:name="_Toc98235183"/>
      <w:bookmarkStart w:id="366" w:name="_Toc98235268"/>
      <w:bookmarkStart w:id="367" w:name="_Toc98757138"/>
      <w:bookmarkStart w:id="368" w:name="_Toc101874693"/>
      <w:bookmarkStart w:id="369" w:name="_Toc101954149"/>
      <w:bookmarkStart w:id="370" w:name="_Toc101971966"/>
      <w:bookmarkStart w:id="371" w:name="_Toc101974058"/>
      <w:bookmarkStart w:id="372" w:name="_Toc102039743"/>
      <w:bookmarkStart w:id="373" w:name="_Toc102039781"/>
      <w:bookmarkStart w:id="374" w:name="_Toc102039821"/>
      <w:bookmarkStart w:id="375" w:name="_Toc102039852"/>
      <w:bookmarkStart w:id="376" w:name="_Toc102040910"/>
      <w:bookmarkStart w:id="377" w:name="_Toc102477758"/>
      <w:bookmarkStart w:id="378" w:name="_Toc102477789"/>
      <w:bookmarkStart w:id="379" w:name="_Toc109824819"/>
      <w:bookmarkStart w:id="380" w:name="_Toc109828775"/>
      <w:bookmarkStart w:id="381" w:name="_Toc109828838"/>
      <w:bookmarkStart w:id="382" w:name="_Toc109829014"/>
      <w:bookmarkStart w:id="383" w:name="_Toc109829045"/>
      <w:bookmarkStart w:id="384" w:name="_Toc109833889"/>
      <w:bookmarkStart w:id="385" w:name="_Toc110237432"/>
      <w:bookmarkStart w:id="386" w:name="_Toc117775309"/>
      <w:bookmarkStart w:id="387" w:name="_Toc117781278"/>
      <w:bookmarkStart w:id="388" w:name="_Toc125620807"/>
      <w:bookmarkStart w:id="389" w:name="_Toc125620838"/>
      <w:bookmarkStart w:id="390" w:name="_Toc125620869"/>
      <w:bookmarkStart w:id="391" w:name="_Toc125620905"/>
      <w:bookmarkStart w:id="392" w:name="_Toc125620936"/>
      <w:bookmarkStart w:id="393" w:name="_Toc125620969"/>
      <w:bookmarkStart w:id="394" w:name="_Toc125621022"/>
      <w:bookmarkStart w:id="395" w:name="_Toc125621076"/>
      <w:bookmarkStart w:id="396" w:name="_Toc125623554"/>
      <w:bookmarkStart w:id="397" w:name="_Toc125623586"/>
      <w:bookmarkStart w:id="398" w:name="_Toc125623618"/>
      <w:bookmarkStart w:id="399" w:name="_Toc125970364"/>
      <w:bookmarkStart w:id="400" w:name="_Toc125970396"/>
      <w:bookmarkStart w:id="401" w:name="_Toc127365847"/>
      <w:bookmarkStart w:id="402" w:name="_Toc127434599"/>
      <w:bookmarkStart w:id="403" w:name="_Toc127436966"/>
      <w:bookmarkStart w:id="404" w:name="_Toc127437328"/>
      <w:bookmarkStart w:id="405" w:name="_Toc127437681"/>
      <w:bookmarkStart w:id="406" w:name="_Toc133492775"/>
      <w:bookmarkStart w:id="407" w:name="_Toc133492972"/>
      <w:bookmarkStart w:id="408" w:name="_Toc133493194"/>
      <w:bookmarkStart w:id="409" w:name="_Toc133497828"/>
      <w:bookmarkStart w:id="410" w:name="_Toc133505548"/>
      <w:bookmarkStart w:id="411" w:name="_Toc133576126"/>
      <w:bookmarkStart w:id="412" w:name="_Toc133576198"/>
      <w:bookmarkStart w:id="413" w:name="_Toc133576231"/>
      <w:bookmarkStart w:id="414" w:name="_Toc133576263"/>
      <w:bookmarkStart w:id="415" w:name="_Toc133576295"/>
      <w:bookmarkStart w:id="416" w:name="_Toc133576327"/>
      <w:bookmarkStart w:id="417" w:name="_Toc133576380"/>
      <w:bookmarkStart w:id="418" w:name="_Toc133576413"/>
      <w:bookmarkStart w:id="419" w:name="_Toc133576447"/>
      <w:bookmarkStart w:id="420" w:name="_Toc133576480"/>
      <w:bookmarkStart w:id="421" w:name="_Toc141108739"/>
      <w:bookmarkStart w:id="422" w:name="_Toc141172980"/>
      <w:bookmarkStart w:id="423" w:name="_Toc141277677"/>
      <w:bookmarkStart w:id="424" w:name="_Toc141277709"/>
      <w:bookmarkStart w:id="425" w:name="_Toc141430923"/>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77791D33" w14:textId="3A07D617" w:rsidR="005B5A6B" w:rsidRPr="005B5A6B" w:rsidRDefault="008C0B31" w:rsidP="005B5A6B">
      <w:pPr>
        <w:pStyle w:val="Prrafodelista"/>
        <w:numPr>
          <w:ilvl w:val="0"/>
          <w:numId w:val="1"/>
        </w:numPr>
        <w:ind w:left="426" w:hanging="426"/>
        <w:outlineLvl w:val="0"/>
        <w:rPr>
          <w:rFonts w:eastAsiaTheme="majorEastAsia" w:cs="Times New Roman"/>
          <w:b/>
          <w:bCs/>
          <w:sz w:val="24"/>
          <w:szCs w:val="26"/>
          <w:lang w:val="es-ES_tradnl" w:eastAsia="es-ES"/>
        </w:rPr>
      </w:pPr>
      <w:bookmarkStart w:id="426" w:name="_Toc141430924"/>
      <w:r w:rsidRPr="00FC4688">
        <w:rPr>
          <w:rFonts w:eastAsiaTheme="majorEastAsia" w:cs="Times New Roman"/>
          <w:b/>
          <w:bCs/>
          <w:sz w:val="24"/>
          <w:szCs w:val="26"/>
          <w:lang w:val="es-ES_tradnl" w:eastAsia="es-ES"/>
        </w:rPr>
        <w:t>Gasto Público</w:t>
      </w:r>
      <w:r w:rsidR="00CE4BA6" w:rsidRPr="00FC4688">
        <w:rPr>
          <w:rFonts w:eastAsiaTheme="majorEastAsia" w:cs="Times New Roman"/>
          <w:b/>
          <w:bCs/>
          <w:sz w:val="24"/>
          <w:szCs w:val="26"/>
          <w:lang w:val="es-ES_tradnl" w:eastAsia="es-ES"/>
        </w:rPr>
        <w:t xml:space="preserve"> del Gobierno Central Presupuestario</w:t>
      </w:r>
      <w:bookmarkEnd w:id="426"/>
    </w:p>
    <w:p w14:paraId="60038496" w14:textId="7922E01D" w:rsidR="0039614C" w:rsidRPr="00FC4688" w:rsidRDefault="0039614C" w:rsidP="00B57C32">
      <w:pPr>
        <w:rPr>
          <w:rFonts w:eastAsiaTheme="majorEastAsia" w:cs="Times New Roman"/>
          <w:b/>
          <w:bCs/>
          <w:sz w:val="24"/>
          <w:szCs w:val="26"/>
          <w:lang w:val="es-ES_tradnl"/>
        </w:rPr>
      </w:pPr>
      <w:r w:rsidRPr="00FC4688">
        <w:rPr>
          <w:rFonts w:eastAsiaTheme="majorEastAsia"/>
          <w:noProof/>
          <w:lang w:eastAsia="es-GT"/>
        </w:rPr>
        <w:drawing>
          <wp:inline distT="0" distB="0" distL="0" distR="0" wp14:anchorId="75D3D81E" wp14:editId="35A15FFD">
            <wp:extent cx="5836920" cy="948520"/>
            <wp:effectExtent l="76200" t="57150" r="87630" b="42545"/>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2025EE4" w14:textId="6F380151" w:rsidR="00770433" w:rsidRPr="00FC4688" w:rsidRDefault="00770433" w:rsidP="00770433">
      <w:pPr>
        <w:pStyle w:val="Prrafodelista"/>
        <w:keepNext/>
        <w:keepLines/>
        <w:numPr>
          <w:ilvl w:val="0"/>
          <w:numId w:val="12"/>
        </w:numPr>
        <w:spacing w:before="200"/>
        <w:contextualSpacing w:val="0"/>
        <w:outlineLvl w:val="1"/>
        <w:rPr>
          <w:rFonts w:eastAsiaTheme="majorEastAsia" w:cs="Times New Roman"/>
          <w:b/>
          <w:bCs/>
          <w:vanish/>
          <w:sz w:val="24"/>
          <w:szCs w:val="26"/>
          <w:lang w:val="es-ES_tradnl" w:eastAsia="es-ES"/>
        </w:rPr>
      </w:pPr>
      <w:bookmarkStart w:id="427" w:name="_Toc471986932"/>
      <w:bookmarkStart w:id="428" w:name="_Toc471987067"/>
      <w:bookmarkStart w:id="429" w:name="_Toc471987115"/>
      <w:bookmarkStart w:id="430" w:name="_Toc471987137"/>
      <w:bookmarkStart w:id="431" w:name="_Toc472082165"/>
      <w:bookmarkStart w:id="432" w:name="_Toc472082197"/>
      <w:bookmarkStart w:id="433" w:name="_Toc472089913"/>
      <w:bookmarkStart w:id="434" w:name="_Toc472089936"/>
      <w:bookmarkStart w:id="435" w:name="_Toc505346063"/>
      <w:bookmarkStart w:id="436" w:name="_Toc505349878"/>
      <w:bookmarkStart w:id="437" w:name="_Toc534985836"/>
      <w:bookmarkStart w:id="438" w:name="_Toc534988229"/>
      <w:bookmarkStart w:id="439" w:name="_Toc31611549"/>
      <w:bookmarkStart w:id="440" w:name="_Toc31612768"/>
      <w:bookmarkStart w:id="441" w:name="_Toc31612800"/>
      <w:bookmarkStart w:id="442" w:name="_Toc31614826"/>
      <w:bookmarkStart w:id="443" w:name="_Toc31614858"/>
      <w:bookmarkStart w:id="444" w:name="_Toc31618695"/>
      <w:bookmarkStart w:id="445" w:name="_Toc31618728"/>
      <w:bookmarkStart w:id="446" w:name="_Toc31624504"/>
      <w:bookmarkStart w:id="447" w:name="_Toc31625356"/>
      <w:bookmarkStart w:id="448" w:name="_Toc31626811"/>
      <w:bookmarkStart w:id="449" w:name="_Toc31811262"/>
      <w:bookmarkStart w:id="450" w:name="_Toc31811707"/>
      <w:bookmarkStart w:id="451" w:name="_Toc31971870"/>
      <w:bookmarkStart w:id="452" w:name="_Toc32230892"/>
      <w:bookmarkStart w:id="453" w:name="_Toc33109788"/>
      <w:bookmarkStart w:id="454" w:name="_Toc33109831"/>
      <w:bookmarkStart w:id="455" w:name="_Toc33180552"/>
      <w:bookmarkStart w:id="456" w:name="_Toc33180646"/>
      <w:bookmarkStart w:id="457" w:name="_Toc33193543"/>
      <w:bookmarkStart w:id="458" w:name="_Toc33193582"/>
      <w:bookmarkStart w:id="459" w:name="_Toc33196779"/>
      <w:bookmarkStart w:id="460" w:name="_Toc40691755"/>
      <w:bookmarkStart w:id="461" w:name="_Toc40959156"/>
      <w:bookmarkStart w:id="462" w:name="_Toc40975990"/>
      <w:bookmarkStart w:id="463" w:name="_Toc40976059"/>
      <w:bookmarkStart w:id="464" w:name="_Toc40993314"/>
      <w:bookmarkStart w:id="465" w:name="_Toc40993696"/>
      <w:bookmarkStart w:id="466" w:name="_Toc41037572"/>
      <w:bookmarkStart w:id="467" w:name="_Toc41254132"/>
      <w:bookmarkStart w:id="468" w:name="_Toc41254164"/>
      <w:bookmarkStart w:id="469" w:name="_Toc41254184"/>
      <w:bookmarkStart w:id="470" w:name="_Toc42023958"/>
      <w:bookmarkStart w:id="471" w:name="_Toc42024010"/>
      <w:bookmarkStart w:id="472" w:name="_Toc42069108"/>
      <w:bookmarkStart w:id="473" w:name="_Toc49422054"/>
      <w:bookmarkStart w:id="474" w:name="_Toc49422080"/>
      <w:bookmarkStart w:id="475" w:name="_Toc49430659"/>
      <w:bookmarkStart w:id="476" w:name="_Toc49430685"/>
      <w:bookmarkStart w:id="477" w:name="_Toc49750462"/>
      <w:bookmarkStart w:id="478" w:name="_Toc49750712"/>
      <w:bookmarkStart w:id="479" w:name="_Toc49750740"/>
      <w:bookmarkStart w:id="480" w:name="_Toc55284826"/>
      <w:bookmarkStart w:id="481" w:name="_Toc55298844"/>
      <w:bookmarkStart w:id="482" w:name="_Toc55373825"/>
      <w:bookmarkStart w:id="483" w:name="_Toc55373998"/>
      <w:bookmarkStart w:id="484" w:name="_Toc55375135"/>
      <w:bookmarkStart w:id="485" w:name="_Toc55396543"/>
      <w:bookmarkStart w:id="486" w:name="_Toc65230539"/>
      <w:bookmarkStart w:id="487" w:name="_Toc65230777"/>
      <w:bookmarkStart w:id="488" w:name="_Toc65232061"/>
      <w:bookmarkStart w:id="489" w:name="_Toc65232306"/>
      <w:bookmarkStart w:id="490" w:name="_Toc66716165"/>
      <w:bookmarkStart w:id="491" w:name="_Toc71097210"/>
      <w:bookmarkStart w:id="492" w:name="_Toc71097241"/>
      <w:bookmarkStart w:id="493" w:name="_Toc71097316"/>
      <w:bookmarkStart w:id="494" w:name="_Toc71108056"/>
      <w:bookmarkStart w:id="495" w:name="_Toc79055250"/>
      <w:bookmarkStart w:id="496" w:name="_Toc79055281"/>
      <w:bookmarkStart w:id="497" w:name="_Toc79060172"/>
      <w:bookmarkStart w:id="498" w:name="_Toc79060459"/>
      <w:bookmarkStart w:id="499" w:name="_Toc81307816"/>
      <w:bookmarkStart w:id="500" w:name="_Toc83376477"/>
      <w:bookmarkStart w:id="501" w:name="_Toc86386716"/>
      <w:bookmarkStart w:id="502" w:name="_Toc86405402"/>
      <w:bookmarkStart w:id="503" w:name="_Toc98162432"/>
      <w:bookmarkStart w:id="504" w:name="_Toc98162464"/>
      <w:bookmarkStart w:id="505" w:name="_Toc98234990"/>
      <w:bookmarkStart w:id="506" w:name="_Toc98235185"/>
      <w:bookmarkStart w:id="507" w:name="_Toc98235270"/>
      <w:bookmarkStart w:id="508" w:name="_Toc98757140"/>
      <w:bookmarkStart w:id="509" w:name="_Toc101874695"/>
      <w:bookmarkStart w:id="510" w:name="_Toc101954151"/>
      <w:bookmarkStart w:id="511" w:name="_Toc101971968"/>
      <w:bookmarkStart w:id="512" w:name="_Toc101974060"/>
      <w:bookmarkStart w:id="513" w:name="_Toc102039745"/>
      <w:bookmarkStart w:id="514" w:name="_Toc102039783"/>
      <w:bookmarkStart w:id="515" w:name="_Toc102039823"/>
      <w:bookmarkStart w:id="516" w:name="_Toc102039854"/>
      <w:bookmarkStart w:id="517" w:name="_Toc102040912"/>
      <w:bookmarkStart w:id="518" w:name="_Toc102477760"/>
      <w:bookmarkStart w:id="519" w:name="_Toc102477791"/>
      <w:bookmarkStart w:id="520" w:name="_Toc109824821"/>
      <w:bookmarkStart w:id="521" w:name="_Toc109828777"/>
      <w:bookmarkStart w:id="522" w:name="_Toc109828840"/>
      <w:bookmarkStart w:id="523" w:name="_Toc109829016"/>
      <w:bookmarkStart w:id="524" w:name="_Toc109829047"/>
      <w:bookmarkStart w:id="525" w:name="_Toc109833891"/>
      <w:bookmarkStart w:id="526" w:name="_Toc110237434"/>
      <w:bookmarkStart w:id="527" w:name="_Toc117775311"/>
      <w:bookmarkStart w:id="528" w:name="_Toc117781280"/>
      <w:bookmarkStart w:id="529" w:name="_Toc125620809"/>
      <w:bookmarkStart w:id="530" w:name="_Toc125620840"/>
      <w:bookmarkStart w:id="531" w:name="_Toc125620871"/>
      <w:bookmarkStart w:id="532" w:name="_Toc125620907"/>
      <w:bookmarkStart w:id="533" w:name="_Toc125620938"/>
      <w:bookmarkStart w:id="534" w:name="_Toc125620971"/>
      <w:bookmarkStart w:id="535" w:name="_Toc125621024"/>
      <w:bookmarkStart w:id="536" w:name="_Toc125621078"/>
      <w:bookmarkStart w:id="537" w:name="_Toc125623556"/>
      <w:bookmarkStart w:id="538" w:name="_Toc125623588"/>
      <w:bookmarkStart w:id="539" w:name="_Toc125623620"/>
      <w:bookmarkStart w:id="540" w:name="_Toc125970366"/>
      <w:bookmarkStart w:id="541" w:name="_Toc125970398"/>
      <w:bookmarkStart w:id="542" w:name="_Toc127365849"/>
      <w:bookmarkStart w:id="543" w:name="_Toc127434601"/>
      <w:bookmarkStart w:id="544" w:name="_Toc127436968"/>
      <w:bookmarkStart w:id="545" w:name="_Toc127437330"/>
      <w:bookmarkStart w:id="546" w:name="_Toc127437683"/>
      <w:bookmarkStart w:id="547" w:name="_Toc133492777"/>
      <w:bookmarkStart w:id="548" w:name="_Toc133492974"/>
      <w:bookmarkStart w:id="549" w:name="_Toc133493196"/>
      <w:bookmarkStart w:id="550" w:name="_Toc133497830"/>
      <w:bookmarkStart w:id="551" w:name="_Toc133505550"/>
      <w:bookmarkStart w:id="552" w:name="_Toc133576449"/>
      <w:bookmarkStart w:id="553" w:name="_Toc133576482"/>
      <w:bookmarkStart w:id="554" w:name="_Toc141108741"/>
      <w:bookmarkStart w:id="555" w:name="_Toc141172982"/>
      <w:bookmarkStart w:id="556" w:name="_Toc141277679"/>
      <w:bookmarkStart w:id="557" w:name="_Toc141277711"/>
      <w:bookmarkStart w:id="558" w:name="_Toc141430925"/>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2FFEEFA0" w14:textId="77777777" w:rsidR="00770433" w:rsidRPr="00FC4688" w:rsidRDefault="00770433" w:rsidP="00770433">
      <w:pPr>
        <w:pStyle w:val="Prrafodelista"/>
        <w:keepNext/>
        <w:keepLines/>
        <w:numPr>
          <w:ilvl w:val="0"/>
          <w:numId w:val="12"/>
        </w:numPr>
        <w:spacing w:before="200"/>
        <w:contextualSpacing w:val="0"/>
        <w:outlineLvl w:val="1"/>
        <w:rPr>
          <w:rFonts w:eastAsiaTheme="majorEastAsia" w:cs="Times New Roman"/>
          <w:b/>
          <w:bCs/>
          <w:vanish/>
          <w:sz w:val="24"/>
          <w:szCs w:val="26"/>
          <w:lang w:val="es-ES_tradnl" w:eastAsia="es-ES"/>
        </w:rPr>
      </w:pPr>
      <w:bookmarkStart w:id="559" w:name="_Toc472082166"/>
      <w:bookmarkStart w:id="560" w:name="_Toc472082198"/>
      <w:bookmarkStart w:id="561" w:name="_Toc472089914"/>
      <w:bookmarkStart w:id="562" w:name="_Toc472089937"/>
      <w:bookmarkStart w:id="563" w:name="_Toc505346064"/>
      <w:bookmarkStart w:id="564" w:name="_Toc505349879"/>
      <w:bookmarkStart w:id="565" w:name="_Toc534985837"/>
      <w:bookmarkStart w:id="566" w:name="_Toc534988230"/>
      <w:bookmarkStart w:id="567" w:name="_Toc31611550"/>
      <w:bookmarkStart w:id="568" w:name="_Toc31612769"/>
      <w:bookmarkStart w:id="569" w:name="_Toc31612801"/>
      <w:bookmarkStart w:id="570" w:name="_Toc31614827"/>
      <w:bookmarkStart w:id="571" w:name="_Toc31614859"/>
      <w:bookmarkStart w:id="572" w:name="_Toc31618696"/>
      <w:bookmarkStart w:id="573" w:name="_Toc31618729"/>
      <w:bookmarkStart w:id="574" w:name="_Toc31624505"/>
      <w:bookmarkStart w:id="575" w:name="_Toc31625357"/>
      <w:bookmarkStart w:id="576" w:name="_Toc31626812"/>
      <w:bookmarkStart w:id="577" w:name="_Toc31811263"/>
      <w:bookmarkStart w:id="578" w:name="_Toc31811708"/>
      <w:bookmarkStart w:id="579" w:name="_Toc31971871"/>
      <w:bookmarkStart w:id="580" w:name="_Toc32230893"/>
      <w:bookmarkStart w:id="581" w:name="_Toc33109789"/>
      <w:bookmarkStart w:id="582" w:name="_Toc33109832"/>
      <w:bookmarkStart w:id="583" w:name="_Toc33180553"/>
      <w:bookmarkStart w:id="584" w:name="_Toc33180647"/>
      <w:bookmarkStart w:id="585" w:name="_Toc33193544"/>
      <w:bookmarkStart w:id="586" w:name="_Toc33193583"/>
      <w:bookmarkStart w:id="587" w:name="_Toc33196780"/>
      <w:bookmarkStart w:id="588" w:name="_Toc40691756"/>
      <w:bookmarkStart w:id="589" w:name="_Toc40959157"/>
      <w:bookmarkStart w:id="590" w:name="_Toc40975991"/>
      <w:bookmarkStart w:id="591" w:name="_Toc40976060"/>
      <w:bookmarkStart w:id="592" w:name="_Toc40993315"/>
      <w:bookmarkStart w:id="593" w:name="_Toc40993697"/>
      <w:bookmarkStart w:id="594" w:name="_Toc41037573"/>
      <w:bookmarkStart w:id="595" w:name="_Toc41254133"/>
      <w:bookmarkStart w:id="596" w:name="_Toc41254165"/>
      <w:bookmarkStart w:id="597" w:name="_Toc41254185"/>
      <w:bookmarkStart w:id="598" w:name="_Toc42023959"/>
      <w:bookmarkStart w:id="599" w:name="_Toc42024011"/>
      <w:bookmarkStart w:id="600" w:name="_Toc42069109"/>
      <w:bookmarkStart w:id="601" w:name="_Toc49422055"/>
      <w:bookmarkStart w:id="602" w:name="_Toc49422081"/>
      <w:bookmarkStart w:id="603" w:name="_Toc49430660"/>
      <w:bookmarkStart w:id="604" w:name="_Toc49430686"/>
      <w:bookmarkStart w:id="605" w:name="_Toc49750463"/>
      <w:bookmarkStart w:id="606" w:name="_Toc49750713"/>
      <w:bookmarkStart w:id="607" w:name="_Toc49750741"/>
      <w:bookmarkStart w:id="608" w:name="_Toc55284827"/>
      <w:bookmarkStart w:id="609" w:name="_Toc55298845"/>
      <w:bookmarkStart w:id="610" w:name="_Toc55373826"/>
      <w:bookmarkStart w:id="611" w:name="_Toc55373999"/>
      <w:bookmarkStart w:id="612" w:name="_Toc55375136"/>
      <w:bookmarkStart w:id="613" w:name="_Toc55396544"/>
      <w:bookmarkStart w:id="614" w:name="_Toc65230540"/>
      <w:bookmarkStart w:id="615" w:name="_Toc65230778"/>
      <w:bookmarkStart w:id="616" w:name="_Toc65232062"/>
      <w:bookmarkStart w:id="617" w:name="_Toc65232307"/>
      <w:bookmarkStart w:id="618" w:name="_Toc66716166"/>
      <w:bookmarkStart w:id="619" w:name="_Toc71097211"/>
      <w:bookmarkStart w:id="620" w:name="_Toc71097242"/>
      <w:bookmarkStart w:id="621" w:name="_Toc71097317"/>
      <w:bookmarkStart w:id="622" w:name="_Toc71108057"/>
      <w:bookmarkStart w:id="623" w:name="_Toc79055251"/>
      <w:bookmarkStart w:id="624" w:name="_Toc79055282"/>
      <w:bookmarkStart w:id="625" w:name="_Toc79060173"/>
      <w:bookmarkStart w:id="626" w:name="_Toc79060460"/>
      <w:bookmarkStart w:id="627" w:name="_Toc81307817"/>
      <w:bookmarkStart w:id="628" w:name="_Toc83376478"/>
      <w:bookmarkStart w:id="629" w:name="_Toc86386717"/>
      <w:bookmarkStart w:id="630" w:name="_Toc86405403"/>
      <w:bookmarkStart w:id="631" w:name="_Toc98162433"/>
      <w:bookmarkStart w:id="632" w:name="_Toc98162465"/>
      <w:bookmarkStart w:id="633" w:name="_Toc98234991"/>
      <w:bookmarkStart w:id="634" w:name="_Toc98235186"/>
      <w:bookmarkStart w:id="635" w:name="_Toc98235271"/>
      <w:bookmarkStart w:id="636" w:name="_Toc98757141"/>
      <w:bookmarkStart w:id="637" w:name="_Toc101874696"/>
      <w:bookmarkStart w:id="638" w:name="_Toc101954152"/>
      <w:bookmarkStart w:id="639" w:name="_Toc101971969"/>
      <w:bookmarkStart w:id="640" w:name="_Toc101974061"/>
      <w:bookmarkStart w:id="641" w:name="_Toc102039746"/>
      <w:bookmarkStart w:id="642" w:name="_Toc102039784"/>
      <w:bookmarkStart w:id="643" w:name="_Toc102039824"/>
      <w:bookmarkStart w:id="644" w:name="_Toc102039855"/>
      <w:bookmarkStart w:id="645" w:name="_Toc102040913"/>
      <w:bookmarkStart w:id="646" w:name="_Toc102477761"/>
      <w:bookmarkStart w:id="647" w:name="_Toc102477792"/>
      <w:bookmarkStart w:id="648" w:name="_Toc109824822"/>
      <w:bookmarkStart w:id="649" w:name="_Toc109828778"/>
      <w:bookmarkStart w:id="650" w:name="_Toc109828841"/>
      <w:bookmarkStart w:id="651" w:name="_Toc109829017"/>
      <w:bookmarkStart w:id="652" w:name="_Toc109829048"/>
      <w:bookmarkStart w:id="653" w:name="_Toc109833892"/>
      <w:bookmarkStart w:id="654" w:name="_Toc110237435"/>
      <w:bookmarkStart w:id="655" w:name="_Toc117775312"/>
      <w:bookmarkStart w:id="656" w:name="_Toc117781281"/>
      <w:bookmarkStart w:id="657" w:name="_Toc125620810"/>
      <w:bookmarkStart w:id="658" w:name="_Toc125620841"/>
      <w:bookmarkStart w:id="659" w:name="_Toc125620872"/>
      <w:bookmarkStart w:id="660" w:name="_Toc125620908"/>
      <w:bookmarkStart w:id="661" w:name="_Toc125620939"/>
      <w:bookmarkStart w:id="662" w:name="_Toc125620972"/>
      <w:bookmarkStart w:id="663" w:name="_Toc125621025"/>
      <w:bookmarkStart w:id="664" w:name="_Toc125621079"/>
      <w:bookmarkStart w:id="665" w:name="_Toc125623557"/>
      <w:bookmarkStart w:id="666" w:name="_Toc125623589"/>
      <w:bookmarkStart w:id="667" w:name="_Toc125623621"/>
      <w:bookmarkStart w:id="668" w:name="_Toc125970367"/>
      <w:bookmarkStart w:id="669" w:name="_Toc125970399"/>
      <w:bookmarkStart w:id="670" w:name="_Toc127365850"/>
      <w:bookmarkStart w:id="671" w:name="_Toc127434602"/>
      <w:bookmarkStart w:id="672" w:name="_Toc127436969"/>
      <w:bookmarkStart w:id="673" w:name="_Toc127437331"/>
      <w:bookmarkStart w:id="674" w:name="_Toc127437684"/>
      <w:bookmarkStart w:id="675" w:name="_Toc133492778"/>
      <w:bookmarkStart w:id="676" w:name="_Toc133492975"/>
      <w:bookmarkStart w:id="677" w:name="_Toc133493197"/>
      <w:bookmarkStart w:id="678" w:name="_Toc133497831"/>
      <w:bookmarkStart w:id="679" w:name="_Toc133505551"/>
      <w:bookmarkStart w:id="680" w:name="_Toc133576129"/>
      <w:bookmarkStart w:id="681" w:name="_Toc133576201"/>
      <w:bookmarkStart w:id="682" w:name="_Toc133576234"/>
      <w:bookmarkStart w:id="683" w:name="_Toc133576266"/>
      <w:bookmarkStart w:id="684" w:name="_Toc133576298"/>
      <w:bookmarkStart w:id="685" w:name="_Toc133576330"/>
      <w:bookmarkStart w:id="686" w:name="_Toc133576383"/>
      <w:bookmarkStart w:id="687" w:name="_Toc133576417"/>
      <w:bookmarkStart w:id="688" w:name="_Toc133576450"/>
      <w:bookmarkStart w:id="689" w:name="_Toc133576483"/>
      <w:bookmarkStart w:id="690" w:name="_Toc141108742"/>
      <w:bookmarkStart w:id="691" w:name="_Toc141172983"/>
      <w:bookmarkStart w:id="692" w:name="_Toc141277680"/>
      <w:bookmarkStart w:id="693" w:name="_Toc141277712"/>
      <w:bookmarkStart w:id="694" w:name="_Toc141430926"/>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14:paraId="0F095CD4" w14:textId="77777777" w:rsidR="005E3A61" w:rsidRPr="005E3A61" w:rsidRDefault="005E3A61" w:rsidP="005E3A61">
      <w:pPr>
        <w:pStyle w:val="Prrafodelista"/>
        <w:keepNext/>
        <w:keepLines/>
        <w:numPr>
          <w:ilvl w:val="0"/>
          <w:numId w:val="11"/>
        </w:numPr>
        <w:tabs>
          <w:tab w:val="left" w:pos="426"/>
        </w:tabs>
        <w:spacing w:after="120"/>
        <w:contextualSpacing w:val="0"/>
        <w:outlineLvl w:val="1"/>
        <w:rPr>
          <w:rFonts w:eastAsiaTheme="majorEastAsia" w:cs="Times New Roman"/>
          <w:b/>
          <w:bCs/>
          <w:vanish/>
          <w:sz w:val="24"/>
          <w:szCs w:val="26"/>
          <w:lang w:eastAsia="es-ES"/>
        </w:rPr>
      </w:pPr>
      <w:bookmarkStart w:id="695" w:name="_Toc127437685"/>
      <w:bookmarkStart w:id="696" w:name="_Toc133492779"/>
      <w:bookmarkStart w:id="697" w:name="_Toc133492976"/>
      <w:bookmarkStart w:id="698" w:name="_Toc133493198"/>
      <w:bookmarkStart w:id="699" w:name="_Toc133497832"/>
      <w:bookmarkStart w:id="700" w:name="_Toc133505552"/>
      <w:bookmarkStart w:id="701" w:name="_Toc133576130"/>
      <w:bookmarkStart w:id="702" w:name="_Toc133576202"/>
      <w:bookmarkStart w:id="703" w:name="_Toc133576235"/>
      <w:bookmarkStart w:id="704" w:name="_Toc133576267"/>
      <w:bookmarkStart w:id="705" w:name="_Toc133576299"/>
      <w:bookmarkStart w:id="706" w:name="_Toc133576331"/>
      <w:bookmarkStart w:id="707" w:name="_Toc133576384"/>
      <w:bookmarkStart w:id="708" w:name="_Toc133576418"/>
      <w:bookmarkStart w:id="709" w:name="_Toc133576451"/>
      <w:bookmarkStart w:id="710" w:name="_Toc133576484"/>
      <w:bookmarkStart w:id="711" w:name="_Toc141108743"/>
      <w:bookmarkStart w:id="712" w:name="_Toc141172984"/>
      <w:bookmarkStart w:id="713" w:name="_Toc141277681"/>
      <w:bookmarkStart w:id="714" w:name="_Toc141277713"/>
      <w:bookmarkStart w:id="715" w:name="_Toc125970400"/>
      <w:bookmarkStart w:id="716" w:name="_Toc141430927"/>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6"/>
    </w:p>
    <w:p w14:paraId="4973411E" w14:textId="0E2D17A2" w:rsidR="005B5A6B" w:rsidRDefault="00FB1DA1" w:rsidP="005B5A6B">
      <w:pPr>
        <w:pStyle w:val="Ttulo2"/>
        <w:numPr>
          <w:ilvl w:val="1"/>
          <w:numId w:val="11"/>
        </w:numPr>
        <w:tabs>
          <w:tab w:val="left" w:pos="426"/>
        </w:tabs>
        <w:spacing w:before="0"/>
        <w:rPr>
          <w:rFonts w:ascii="Times New Roman" w:hAnsi="Times New Roman" w:cs="Times New Roman"/>
          <w:color w:val="auto"/>
          <w:sz w:val="24"/>
          <w:lang w:val="es-ES_tradnl"/>
        </w:rPr>
      </w:pPr>
      <w:r>
        <w:rPr>
          <w:rFonts w:ascii="Times New Roman" w:hAnsi="Times New Roman" w:cs="Times New Roman"/>
          <w:color w:val="auto"/>
          <w:sz w:val="24"/>
          <w:lang w:val="es-ES_tradnl"/>
        </w:rPr>
        <w:t xml:space="preserve"> </w:t>
      </w:r>
      <w:bookmarkStart w:id="717" w:name="_Toc141430928"/>
      <w:bookmarkEnd w:id="715"/>
      <w:r w:rsidR="00345CB1">
        <w:rPr>
          <w:rFonts w:ascii="Times New Roman" w:hAnsi="Times New Roman" w:cs="Times New Roman"/>
          <w:color w:val="auto"/>
          <w:sz w:val="24"/>
        </w:rPr>
        <w:t>Leve desaceleración en el gasto público</w:t>
      </w:r>
      <w:bookmarkEnd w:id="717"/>
    </w:p>
    <w:p w14:paraId="2954706E" w14:textId="40440C80" w:rsidR="00362CC3" w:rsidRDefault="005B5A6B" w:rsidP="00362CC3">
      <w:pPr>
        <w:rPr>
          <w:rFonts w:cs="Times New Roman"/>
          <w:szCs w:val="22"/>
        </w:rPr>
      </w:pPr>
      <w:bookmarkStart w:id="718" w:name="_Toc133576233"/>
      <w:r w:rsidRPr="00FC4688">
        <w:rPr>
          <w:rFonts w:cs="Times New Roman"/>
          <w:noProof/>
          <w:lang w:eastAsia="es-GT"/>
        </w:rPr>
        <w:drawing>
          <wp:anchor distT="0" distB="0" distL="114300" distR="114300" simplePos="0" relativeHeight="251677700" behindDoc="0" locked="0" layoutInCell="1" allowOverlap="1" wp14:anchorId="71BF6F69" wp14:editId="63B42837">
            <wp:simplePos x="0" y="0"/>
            <wp:positionH relativeFrom="margin">
              <wp:align>right</wp:align>
            </wp:positionH>
            <wp:positionV relativeFrom="paragraph">
              <wp:posOffset>91250</wp:posOffset>
            </wp:positionV>
            <wp:extent cx="2940050" cy="2510790"/>
            <wp:effectExtent l="0" t="0" r="0" b="3810"/>
            <wp:wrapSquare wrapText="bothSides"/>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bookmarkEnd w:id="718"/>
      <w:r w:rsidR="00362CC3">
        <w:rPr>
          <w:rFonts w:cs="Times New Roman"/>
          <w:szCs w:val="22"/>
        </w:rPr>
        <w:t xml:space="preserve">El gasto público </w:t>
      </w:r>
      <w:r w:rsidR="00124319">
        <w:rPr>
          <w:rFonts w:cs="Times New Roman"/>
          <w:szCs w:val="22"/>
        </w:rPr>
        <w:t xml:space="preserve">al finalizar el </w:t>
      </w:r>
      <w:r w:rsidR="00E36EF1">
        <w:rPr>
          <w:rFonts w:cs="Times New Roman"/>
          <w:szCs w:val="22"/>
        </w:rPr>
        <w:t>segundo trimestre</w:t>
      </w:r>
      <w:r w:rsidR="00124319">
        <w:rPr>
          <w:rFonts w:cs="Times New Roman"/>
          <w:szCs w:val="22"/>
        </w:rPr>
        <w:t xml:space="preserve"> del año</w:t>
      </w:r>
      <w:r w:rsidR="00963C87">
        <w:rPr>
          <w:rFonts w:cs="Times New Roman"/>
          <w:szCs w:val="22"/>
        </w:rPr>
        <w:t xml:space="preserve"> se sitúa en </w:t>
      </w:r>
      <w:r w:rsidR="00362CC3">
        <w:rPr>
          <w:rFonts w:cs="Times New Roman"/>
          <w:szCs w:val="22"/>
        </w:rPr>
        <w:t>Q</w:t>
      </w:r>
      <w:r w:rsidR="00963C87" w:rsidRPr="00963C87">
        <w:rPr>
          <w:rFonts w:cs="Times New Roman"/>
          <w:szCs w:val="22"/>
        </w:rPr>
        <w:t xml:space="preserve">52,552.4 </w:t>
      </w:r>
      <w:r w:rsidR="00362CC3" w:rsidRPr="00DB556E">
        <w:rPr>
          <w:rFonts w:cs="Times New Roman"/>
          <w:szCs w:val="22"/>
        </w:rPr>
        <w:t>millones</w:t>
      </w:r>
      <w:r w:rsidR="00D361F5">
        <w:rPr>
          <w:rFonts w:cs="Times New Roman"/>
          <w:szCs w:val="22"/>
        </w:rPr>
        <w:t xml:space="preserve"> mostrando una variación acumulada del 16.3% (Q</w:t>
      </w:r>
      <w:r w:rsidR="003573B4" w:rsidRPr="00D361F5">
        <w:rPr>
          <w:rFonts w:cs="Times New Roman"/>
          <w:szCs w:val="22"/>
        </w:rPr>
        <w:t xml:space="preserve">7,357.1 </w:t>
      </w:r>
      <w:r w:rsidR="003573B4">
        <w:rPr>
          <w:rFonts w:cs="Times New Roman"/>
          <w:szCs w:val="22"/>
        </w:rPr>
        <w:t>millones</w:t>
      </w:r>
      <w:r w:rsidR="00D361F5">
        <w:rPr>
          <w:rFonts w:cs="Times New Roman"/>
          <w:szCs w:val="22"/>
        </w:rPr>
        <w:t>) respecto al año previo.</w:t>
      </w:r>
      <w:r w:rsidR="007223A3">
        <w:rPr>
          <w:rFonts w:cs="Times New Roman"/>
          <w:szCs w:val="22"/>
        </w:rPr>
        <w:t xml:space="preserve"> Cabe mencionar que hubo una pequeña desaceleración en el gasto </w:t>
      </w:r>
      <w:r w:rsidR="00BA24BE">
        <w:rPr>
          <w:rFonts w:cs="Times New Roman"/>
          <w:szCs w:val="22"/>
        </w:rPr>
        <w:t xml:space="preserve">pasando de tener un crecimiento del 19.7% en abril a un 17.9% y 16.3% en </w:t>
      </w:r>
      <w:r w:rsidR="003573B4">
        <w:rPr>
          <w:rFonts w:cs="Times New Roman"/>
          <w:szCs w:val="22"/>
        </w:rPr>
        <w:t xml:space="preserve">mayo y junio, sin embargo, el gasto </w:t>
      </w:r>
      <w:r w:rsidR="00DA1F95">
        <w:rPr>
          <w:rFonts w:cs="Times New Roman"/>
          <w:szCs w:val="22"/>
        </w:rPr>
        <w:t>continúa</w:t>
      </w:r>
      <w:r w:rsidR="003573B4">
        <w:rPr>
          <w:rFonts w:cs="Times New Roman"/>
          <w:szCs w:val="22"/>
        </w:rPr>
        <w:t xml:space="preserve"> </w:t>
      </w:r>
      <w:r w:rsidR="008362E5">
        <w:rPr>
          <w:rFonts w:cs="Times New Roman"/>
          <w:szCs w:val="22"/>
        </w:rPr>
        <w:t>mostrando un alto dinamismo</w:t>
      </w:r>
      <w:r w:rsidR="00DA5440">
        <w:rPr>
          <w:rFonts w:cs="Times New Roman"/>
          <w:szCs w:val="22"/>
        </w:rPr>
        <w:t>.</w:t>
      </w:r>
    </w:p>
    <w:p w14:paraId="2769F385" w14:textId="77777777" w:rsidR="00362CC3" w:rsidRPr="00DB556E" w:rsidRDefault="00362CC3" w:rsidP="00362CC3">
      <w:pPr>
        <w:rPr>
          <w:rFonts w:cs="Times New Roman"/>
          <w:szCs w:val="22"/>
        </w:rPr>
      </w:pPr>
    </w:p>
    <w:p w14:paraId="26AFFAB4" w14:textId="5FDE3C7B" w:rsidR="00362CC3" w:rsidRPr="003F0AE5" w:rsidRDefault="00362CC3" w:rsidP="00362CC3">
      <w:pPr>
        <w:rPr>
          <w:rFonts w:cs="Times New Roman"/>
          <w:color w:val="0070C0"/>
          <w:szCs w:val="22"/>
        </w:rPr>
      </w:pPr>
      <w:r w:rsidRPr="0019376F">
        <w:rPr>
          <w:rFonts w:cs="Times New Roman"/>
          <w:szCs w:val="22"/>
        </w:rPr>
        <w:t xml:space="preserve">La cuenta económica </w:t>
      </w:r>
      <w:r w:rsidR="009705DC">
        <w:rPr>
          <w:rFonts w:cs="Times New Roman"/>
          <w:szCs w:val="22"/>
        </w:rPr>
        <w:t>que muestra el m</w:t>
      </w:r>
      <w:r w:rsidRPr="0019376F">
        <w:rPr>
          <w:rFonts w:cs="Times New Roman"/>
          <w:szCs w:val="22"/>
        </w:rPr>
        <w:t>ayor incremento</w:t>
      </w:r>
      <w:r w:rsidR="009705DC">
        <w:rPr>
          <w:rFonts w:cs="Times New Roman"/>
          <w:szCs w:val="22"/>
        </w:rPr>
        <w:t xml:space="preserve"> al finalizar junio es</w:t>
      </w:r>
      <w:r w:rsidR="005B7FE4">
        <w:rPr>
          <w:rFonts w:cs="Times New Roman"/>
          <w:szCs w:val="22"/>
        </w:rPr>
        <w:t xml:space="preserve"> </w:t>
      </w:r>
      <w:r w:rsidR="004767D4">
        <w:rPr>
          <w:rFonts w:cs="Times New Roman"/>
          <w:szCs w:val="22"/>
        </w:rPr>
        <w:t xml:space="preserve">en </w:t>
      </w:r>
      <w:r w:rsidR="005B7FE4">
        <w:rPr>
          <w:rFonts w:cs="Times New Roman"/>
          <w:szCs w:val="22"/>
        </w:rPr>
        <w:t xml:space="preserve">el Uso de bienes y servicios con una ejecución de </w:t>
      </w:r>
      <w:r w:rsidRPr="0019376F">
        <w:rPr>
          <w:rFonts w:cs="Times New Roman"/>
          <w:szCs w:val="22"/>
        </w:rPr>
        <w:t>Q</w:t>
      </w:r>
      <w:r w:rsidR="001814B1" w:rsidRPr="005B7FE4">
        <w:rPr>
          <w:rFonts w:cs="Times New Roman"/>
          <w:szCs w:val="22"/>
        </w:rPr>
        <w:t xml:space="preserve">8,073.9 </w:t>
      </w:r>
      <w:r w:rsidR="001814B1" w:rsidRPr="0019376F">
        <w:rPr>
          <w:rFonts w:cs="Times New Roman"/>
          <w:szCs w:val="22"/>
        </w:rPr>
        <w:t>millones</w:t>
      </w:r>
      <w:r w:rsidR="005B7FE4">
        <w:rPr>
          <w:rFonts w:cs="Times New Roman"/>
          <w:szCs w:val="22"/>
        </w:rPr>
        <w:t xml:space="preserve"> y siendo un aumento del 49.8% (Q</w:t>
      </w:r>
      <w:r w:rsidR="005B7FE4" w:rsidRPr="005B7FE4">
        <w:rPr>
          <w:rFonts w:cs="Times New Roman"/>
          <w:szCs w:val="22"/>
        </w:rPr>
        <w:t>2,685.5</w:t>
      </w:r>
      <w:r w:rsidR="005B7FE4">
        <w:rPr>
          <w:rFonts w:cs="Times New Roman"/>
          <w:szCs w:val="22"/>
        </w:rPr>
        <w:t xml:space="preserve"> millones)</w:t>
      </w:r>
      <w:r w:rsidR="001814B1">
        <w:rPr>
          <w:rFonts w:cs="Times New Roman"/>
          <w:szCs w:val="22"/>
        </w:rPr>
        <w:t xml:space="preserve">. </w:t>
      </w:r>
      <w:r w:rsidR="006E2B1A" w:rsidRPr="006E0EB4">
        <w:rPr>
          <w:rFonts w:cs="Times New Roman"/>
          <w:szCs w:val="22"/>
        </w:rPr>
        <w:t>E</w:t>
      </w:r>
      <w:r w:rsidR="000347BC" w:rsidRPr="006E0EB4">
        <w:rPr>
          <w:rFonts w:cs="Times New Roman"/>
          <w:szCs w:val="22"/>
        </w:rPr>
        <w:t>ste comportamiento</w:t>
      </w:r>
      <w:r w:rsidR="006E2B1A" w:rsidRPr="006E0EB4">
        <w:rPr>
          <w:rFonts w:cs="Times New Roman"/>
          <w:szCs w:val="22"/>
        </w:rPr>
        <w:t xml:space="preserve"> es</w:t>
      </w:r>
      <w:r w:rsidRPr="006E0EB4">
        <w:rPr>
          <w:rFonts w:cs="Times New Roman"/>
          <w:szCs w:val="22"/>
        </w:rPr>
        <w:t xml:space="preserve"> </w:t>
      </w:r>
      <w:r w:rsidRPr="006E0EB4">
        <w:t xml:space="preserve">explicado principalmente por </w:t>
      </w:r>
      <w:r w:rsidR="006E2B1A" w:rsidRPr="006E0EB4">
        <w:t>el gasto</w:t>
      </w:r>
      <w:r w:rsidRPr="006E0EB4">
        <w:t xml:space="preserve"> del Ministerio de Comunicaciones, Infraestructura y </w:t>
      </w:r>
      <w:r w:rsidR="003913A1" w:rsidRPr="006E0EB4">
        <w:t xml:space="preserve">Vivienda </w:t>
      </w:r>
      <w:r w:rsidR="006E2B1A" w:rsidRPr="006E0EB4">
        <w:t>en</w:t>
      </w:r>
      <w:r w:rsidR="003913A1" w:rsidRPr="006E0EB4">
        <w:t xml:space="preserve"> el</w:t>
      </w:r>
      <w:r w:rsidR="006E2B1A" w:rsidRPr="006E0EB4">
        <w:t xml:space="preserve"> M</w:t>
      </w:r>
      <w:r w:rsidRPr="006E0EB4">
        <w:t xml:space="preserve">antenimiento y </w:t>
      </w:r>
      <w:r w:rsidR="006E2B1A" w:rsidRPr="006E0EB4">
        <w:t>R</w:t>
      </w:r>
      <w:r w:rsidRPr="006E0EB4">
        <w:t xml:space="preserve">eparación de </w:t>
      </w:r>
      <w:r w:rsidR="006E2B1A" w:rsidRPr="006E0EB4">
        <w:t>B</w:t>
      </w:r>
      <w:r w:rsidRPr="006E0EB4">
        <w:t xml:space="preserve">ienes </w:t>
      </w:r>
      <w:r w:rsidR="006E2B1A" w:rsidRPr="006E0EB4">
        <w:t>N</w:t>
      </w:r>
      <w:r w:rsidRPr="006E0EB4">
        <w:t xml:space="preserve">acionales de </w:t>
      </w:r>
      <w:r w:rsidR="006E2B1A" w:rsidRPr="006E0EB4">
        <w:t>U</w:t>
      </w:r>
      <w:r w:rsidRPr="006E0EB4">
        <w:t xml:space="preserve">so </w:t>
      </w:r>
      <w:r w:rsidR="006E2B1A" w:rsidRPr="006E0EB4">
        <w:t>C</w:t>
      </w:r>
      <w:r w:rsidRPr="006E0EB4">
        <w:t>omún</w:t>
      </w:r>
      <w:r w:rsidR="006E2B1A" w:rsidRPr="006E0EB4">
        <w:t xml:space="preserve"> (como carreteras y puentes, en accesorios y repuestos en general y los servicios de ingeniería, arquitectura y supervisión de obras)</w:t>
      </w:r>
      <w:r w:rsidRPr="006E0EB4">
        <w:t xml:space="preserve"> que </w:t>
      </w:r>
      <w:r w:rsidR="003913A1" w:rsidRPr="006E0EB4">
        <w:t>se incrementó en</w:t>
      </w:r>
      <w:r w:rsidR="006E2B1A" w:rsidRPr="006E0EB4">
        <w:t xml:space="preserve"> </w:t>
      </w:r>
      <w:r w:rsidRPr="006E0EB4">
        <w:t>Q</w:t>
      </w:r>
      <w:r w:rsidR="00A024BE" w:rsidRPr="006E0EB4">
        <w:t>1,899.</w:t>
      </w:r>
      <w:r w:rsidR="00954870" w:rsidRPr="006E0EB4">
        <w:t>5</w:t>
      </w:r>
      <w:r w:rsidRPr="006E0EB4">
        <w:t xml:space="preserve"> millones</w:t>
      </w:r>
      <w:r w:rsidR="00A024BE" w:rsidRPr="006E0EB4">
        <w:t xml:space="preserve"> respecto a lo observado en el año previo.</w:t>
      </w:r>
    </w:p>
    <w:p w14:paraId="48318682" w14:textId="77777777" w:rsidR="00362CC3" w:rsidRDefault="00362CC3" w:rsidP="00362CC3"/>
    <w:p w14:paraId="2F020F21" w14:textId="797A17B5" w:rsidR="00362CC3" w:rsidRPr="00E8116C" w:rsidRDefault="00AC4AA9" w:rsidP="00362CC3">
      <w:r w:rsidRPr="002B092D">
        <w:t xml:space="preserve">La segunda cuenta económica con mayor crecimiento fueron las </w:t>
      </w:r>
      <w:r w:rsidR="00362CC3" w:rsidRPr="002B092D">
        <w:t xml:space="preserve">remuneraciones a los </w:t>
      </w:r>
      <w:r w:rsidR="00362CC3" w:rsidRPr="00C9628A">
        <w:t xml:space="preserve">empleados </w:t>
      </w:r>
      <w:r w:rsidR="00C673AD" w:rsidRPr="00C9628A">
        <w:t>con una</w:t>
      </w:r>
      <w:r w:rsidR="002B316B" w:rsidRPr="00C9628A">
        <w:t xml:space="preserve"> ejecución de </w:t>
      </w:r>
      <w:r w:rsidR="00362CC3" w:rsidRPr="00C9628A">
        <w:t>Q</w:t>
      </w:r>
      <w:r w:rsidR="00C673AD" w:rsidRPr="00C9628A">
        <w:t xml:space="preserve">16,464.6 </w:t>
      </w:r>
      <w:r w:rsidR="00362CC3" w:rsidRPr="00C9628A">
        <w:t>millones</w:t>
      </w:r>
      <w:r w:rsidR="00C673AD" w:rsidRPr="00C9628A">
        <w:t xml:space="preserve"> y </w:t>
      </w:r>
      <w:r w:rsidR="004A404E" w:rsidRPr="00C9628A">
        <w:t>teniendo un crecimiento del 12.8</w:t>
      </w:r>
      <w:r w:rsidR="00362CC3" w:rsidRPr="00C9628A">
        <w:t>% (Q</w:t>
      </w:r>
      <w:r w:rsidR="004A404E" w:rsidRPr="00C9628A">
        <w:t xml:space="preserve">1,865.6 </w:t>
      </w:r>
      <w:r w:rsidR="00362CC3" w:rsidRPr="00C9628A">
        <w:t>millones), explicado principalmente</w:t>
      </w:r>
      <w:r w:rsidR="007A5C2A" w:rsidRPr="00C9628A">
        <w:t xml:space="preserve"> </w:t>
      </w:r>
      <w:r w:rsidR="007A5C2A" w:rsidRPr="00120601">
        <w:t>por</w:t>
      </w:r>
      <w:r w:rsidR="00362CC3" w:rsidRPr="00120601">
        <w:t xml:space="preserve"> </w:t>
      </w:r>
      <w:r w:rsidR="003966A4" w:rsidRPr="00120601">
        <w:t>Obligaciones del Estado a cargo del Tesoro</w:t>
      </w:r>
      <w:r w:rsidR="00A770AF" w:rsidRPr="00120601">
        <w:t xml:space="preserve"> </w:t>
      </w:r>
      <w:r w:rsidR="00395D14" w:rsidRPr="00120601">
        <w:t xml:space="preserve">que incremento su ejecución en </w:t>
      </w:r>
      <w:r w:rsidR="001309AB" w:rsidRPr="00120601">
        <w:t>19.5%</w:t>
      </w:r>
      <w:r w:rsidR="00C96B09" w:rsidRPr="00120601">
        <w:t xml:space="preserve"> (Q571.7 millones)</w:t>
      </w:r>
      <w:r w:rsidR="005858FA" w:rsidRPr="00120601">
        <w:t xml:space="preserve"> </w:t>
      </w:r>
      <w:r w:rsidR="001203D8" w:rsidRPr="00120601">
        <w:t>respecto al año previo y en</w:t>
      </w:r>
      <w:r w:rsidR="005858FA" w:rsidRPr="00120601">
        <w:t xml:space="preserve"> los cuales el pago </w:t>
      </w:r>
      <w:r w:rsidR="00397107" w:rsidRPr="00120601">
        <w:t xml:space="preserve">por </w:t>
      </w:r>
      <w:r w:rsidR="005858FA" w:rsidRPr="00120601">
        <w:t>jubilaciones y/o retiros</w:t>
      </w:r>
      <w:r w:rsidR="00517805" w:rsidRPr="00120601">
        <w:t xml:space="preserve"> (forma parte de las contribuciones sociales imputadas de los empleadores)</w:t>
      </w:r>
      <w:r w:rsidR="005858FA" w:rsidRPr="00120601">
        <w:t xml:space="preserve"> </w:t>
      </w:r>
      <w:r w:rsidR="004F2D4D" w:rsidRPr="00120601">
        <w:t>aument</w:t>
      </w:r>
      <w:r w:rsidR="001203D8" w:rsidRPr="00120601">
        <w:t>ó</w:t>
      </w:r>
      <w:r w:rsidR="004F2D4D" w:rsidRPr="00120601">
        <w:t xml:space="preserve"> en 16.5% (Q</w:t>
      </w:r>
      <w:r w:rsidR="008D03A7" w:rsidRPr="00120601">
        <w:t>360.8 millones) y el aporte patronal al IGSS</w:t>
      </w:r>
      <w:r w:rsidR="00972247" w:rsidRPr="00120601">
        <w:t xml:space="preserve"> aumentó en 49.3% (Q188.9</w:t>
      </w:r>
      <w:r w:rsidR="00C96B09" w:rsidRPr="00120601">
        <w:t xml:space="preserve"> </w:t>
      </w:r>
      <w:r w:rsidR="00972247" w:rsidRPr="00120601">
        <w:t>millones</w:t>
      </w:r>
      <w:r w:rsidR="00972247" w:rsidRPr="00E8116C">
        <w:t>)</w:t>
      </w:r>
      <w:r w:rsidR="00CF5E3D" w:rsidRPr="00E8116C">
        <w:t>, asi mismo, cabe mencionar que el</w:t>
      </w:r>
      <w:r w:rsidR="00BB2BE0" w:rsidRPr="00E8116C">
        <w:t xml:space="preserve"> Ministerio de Educación </w:t>
      </w:r>
      <w:r w:rsidR="007D14CF" w:rsidRPr="00E8116C">
        <w:t xml:space="preserve">ejecuto en esta cuenta </w:t>
      </w:r>
      <w:r w:rsidR="009C7D1A" w:rsidRPr="009C7D1A">
        <w:t>Q7,164.6</w:t>
      </w:r>
      <w:r w:rsidR="009C7D1A">
        <w:t xml:space="preserve"> </w:t>
      </w:r>
      <w:r w:rsidR="00284D8C" w:rsidRPr="00E8116C">
        <w:t>millones con un crecimiento del 6.3% (Q426.4 millones)</w:t>
      </w:r>
    </w:p>
    <w:p w14:paraId="63B6803E" w14:textId="77777777" w:rsidR="00E36EF1" w:rsidRDefault="00E36EF1" w:rsidP="00362CC3"/>
    <w:p w14:paraId="70E8855B" w14:textId="5D58A8A0" w:rsidR="00DC3537" w:rsidRDefault="00BF20CD" w:rsidP="00107B97">
      <w:pPr>
        <w:tabs>
          <w:tab w:val="left" w:pos="1803"/>
        </w:tabs>
        <w:rPr>
          <w:rFonts w:cs="Times New Roman"/>
          <w:szCs w:val="22"/>
        </w:rPr>
      </w:pPr>
      <w:r w:rsidRPr="00FC4688">
        <w:rPr>
          <w:rFonts w:cs="Times New Roman"/>
          <w:noProof/>
          <w:szCs w:val="22"/>
          <w:lang w:eastAsia="es-GT"/>
        </w:rPr>
        <w:drawing>
          <wp:inline distT="0" distB="0" distL="0" distR="0" wp14:anchorId="7B243B22" wp14:editId="5530933C">
            <wp:extent cx="5960745" cy="2247900"/>
            <wp:effectExtent l="0" t="0" r="1905"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5B01EE" w:rsidRPr="005B01EE">
        <w:rPr>
          <w:rFonts w:cs="Times New Roman"/>
          <w:szCs w:val="22"/>
        </w:rPr>
        <w:t xml:space="preserve"> </w:t>
      </w:r>
    </w:p>
    <w:p w14:paraId="79C071FA" w14:textId="77CDBB16" w:rsidR="007220CD" w:rsidRPr="003F0AE5" w:rsidRDefault="006243A6" w:rsidP="007220CD">
      <w:pPr>
        <w:rPr>
          <w:color w:val="0070C0"/>
        </w:rPr>
      </w:pPr>
      <w:r>
        <w:t>L</w:t>
      </w:r>
      <w:r w:rsidR="007220CD">
        <w:t xml:space="preserve">as donaciones </w:t>
      </w:r>
      <w:r w:rsidR="00BF5B63">
        <w:t>tienen una ejecución al finalizar el segundo trimestre del año de Q</w:t>
      </w:r>
      <w:r w:rsidR="00BF5B63" w:rsidRPr="00BF5B63">
        <w:t xml:space="preserve">13,192.7 </w:t>
      </w:r>
      <w:r w:rsidR="00BF5B63">
        <w:t>millones</w:t>
      </w:r>
      <w:r w:rsidR="00C53D18">
        <w:t xml:space="preserve"> con un crecimiento del 15.5% (Q1,765.8 millones)</w:t>
      </w:r>
      <w:r w:rsidR="0008351D">
        <w:t xml:space="preserve"> y sus principales incrementos se derivan de las transferencias realizada</w:t>
      </w:r>
      <w:r w:rsidR="005A0F99">
        <w:t xml:space="preserve">s a las municipalidades que </w:t>
      </w:r>
      <w:r w:rsidR="005A0F99" w:rsidRPr="000117D8">
        <w:t xml:space="preserve">aumentó en 14.3% (Q625.2 millones), </w:t>
      </w:r>
      <w:r w:rsidR="009E44D8" w:rsidRPr="000117D8">
        <w:t xml:space="preserve">las trasferencias a </w:t>
      </w:r>
      <w:r w:rsidR="00CE43B6" w:rsidRPr="000117D8">
        <w:t>C</w:t>
      </w:r>
      <w:r w:rsidR="009E44D8" w:rsidRPr="000117D8">
        <w:t xml:space="preserve">onsejos de </w:t>
      </w:r>
      <w:r w:rsidR="00CE43B6" w:rsidRPr="000117D8">
        <w:t>D</w:t>
      </w:r>
      <w:r w:rsidR="009E44D8" w:rsidRPr="000117D8">
        <w:t xml:space="preserve">esarrollo </w:t>
      </w:r>
      <w:r w:rsidR="00CE43B6" w:rsidRPr="000117D8">
        <w:t>U</w:t>
      </w:r>
      <w:r w:rsidR="009E44D8" w:rsidRPr="000117D8">
        <w:t xml:space="preserve">rbano y </w:t>
      </w:r>
      <w:r w:rsidR="00CE43B6" w:rsidRPr="000117D8">
        <w:t>R</w:t>
      </w:r>
      <w:r w:rsidR="009E44D8" w:rsidRPr="000117D8">
        <w:t>ural con un incremento del 49.1% (Q</w:t>
      </w:r>
      <w:r w:rsidR="00BB6EF6" w:rsidRPr="000117D8">
        <w:t xml:space="preserve">444.9 millones) y las </w:t>
      </w:r>
      <w:r w:rsidR="00E36EF1" w:rsidRPr="000117D8">
        <w:t>transferencias</w:t>
      </w:r>
      <w:r w:rsidR="00BB6EF6" w:rsidRPr="000117D8">
        <w:t xml:space="preserve"> a la </w:t>
      </w:r>
      <w:r w:rsidR="00E36EF1" w:rsidRPr="000117D8">
        <w:t>A</w:t>
      </w:r>
      <w:r w:rsidR="00BB6EF6" w:rsidRPr="000117D8">
        <w:t xml:space="preserve">dministración </w:t>
      </w:r>
      <w:r w:rsidR="00E36EF1" w:rsidRPr="000117D8">
        <w:t>C</w:t>
      </w:r>
      <w:r w:rsidR="00BB6EF6" w:rsidRPr="000117D8">
        <w:t>entral</w:t>
      </w:r>
      <w:r w:rsidR="00C166DE" w:rsidRPr="000117D8">
        <w:t xml:space="preserve"> </w:t>
      </w:r>
      <w:r w:rsidR="00720860" w:rsidRPr="000117D8">
        <w:t>(</w:t>
      </w:r>
      <w:r w:rsidR="00984FB1" w:rsidRPr="000117D8">
        <w:t>incluye los aportes otorgados al Tribunal Superior Electoral,</w:t>
      </w:r>
      <w:r w:rsidR="004D3622" w:rsidRPr="000117D8">
        <w:t xml:space="preserve"> Ministerio Público,</w:t>
      </w:r>
      <w:r w:rsidR="009509E5" w:rsidRPr="000117D8">
        <w:t xml:space="preserve"> Organismo Legislativo, entre otros)</w:t>
      </w:r>
      <w:r w:rsidR="00BB6EF6" w:rsidRPr="000117D8">
        <w:t xml:space="preserve"> con una variación del </w:t>
      </w:r>
      <w:r w:rsidR="00CD5A93" w:rsidRPr="000117D8">
        <w:t>12.6% (Q321.1 millones).</w:t>
      </w:r>
    </w:p>
    <w:p w14:paraId="5B981134" w14:textId="77777777" w:rsidR="007220CD" w:rsidRDefault="007220CD" w:rsidP="007220CD"/>
    <w:p w14:paraId="48947DB1" w14:textId="09F93BC3" w:rsidR="007220CD" w:rsidRDefault="00E75E72" w:rsidP="007220CD">
      <w:r>
        <w:t xml:space="preserve">La categoría de otros gastos asciende a </w:t>
      </w:r>
      <w:r w:rsidR="00AC36D8">
        <w:t>Q</w:t>
      </w:r>
      <w:r w:rsidR="00AC36D8" w:rsidRPr="00AC36D8">
        <w:t>4,388.1</w:t>
      </w:r>
      <w:r w:rsidR="00AC36D8">
        <w:t xml:space="preserve"> millones con un incremento del 29.0% (Q986.3 millones) seguido de </w:t>
      </w:r>
      <w:r w:rsidR="003E54C7">
        <w:t>las prestaciones sociales con una ejecución a junio de Q</w:t>
      </w:r>
      <w:r w:rsidR="003E54C7" w:rsidRPr="003E54C7">
        <w:t>3,487.2</w:t>
      </w:r>
      <w:r w:rsidR="003E54C7">
        <w:t xml:space="preserve"> y un aumento del 20.6% </w:t>
      </w:r>
      <w:r w:rsidR="004A6AA9">
        <w:t>(</w:t>
      </w:r>
      <w:r w:rsidR="003E54C7">
        <w:t>Q</w:t>
      </w:r>
      <w:r w:rsidR="004A6AA9">
        <w:t xml:space="preserve">596.7 millones) y el pago de intereses se sitúa en </w:t>
      </w:r>
      <w:r w:rsidR="00B37175">
        <w:t>Q</w:t>
      </w:r>
      <w:r w:rsidR="00B37175" w:rsidRPr="00B37175">
        <w:t>6,353.2</w:t>
      </w:r>
      <w:r w:rsidR="00B37175">
        <w:t xml:space="preserve"> millones con un aumento del 9.4% (Q545.2 millones)</w:t>
      </w:r>
      <w:r w:rsidR="007220CD">
        <w:t>.</w:t>
      </w:r>
    </w:p>
    <w:p w14:paraId="0E5D66CA" w14:textId="77777777" w:rsidR="00B37175" w:rsidRDefault="00B37175" w:rsidP="007220CD"/>
    <w:p w14:paraId="330B9743" w14:textId="0FF2688F" w:rsidR="00B37175" w:rsidRPr="00362CC3" w:rsidRDefault="00B37175" w:rsidP="007220CD">
      <w:r>
        <w:t>Por su parte, el gasto en subsidios es el único que presenta una disminución interanual teniendo una ejecución acumulada a junio de Q</w:t>
      </w:r>
      <w:r w:rsidRPr="00B37175">
        <w:t>592.6</w:t>
      </w:r>
      <w:r>
        <w:t xml:space="preserve"> millones y siendo una disminución del 64.7% (Q1,088.0 millones)</w:t>
      </w:r>
      <w:r w:rsidR="00DD6BB1">
        <w:t xml:space="preserve">, </w:t>
      </w:r>
      <w:r w:rsidR="00FD5E72">
        <w:t>deriva</w:t>
      </w:r>
      <w:r w:rsidR="00DD6BB1">
        <w:t>do</w:t>
      </w:r>
      <w:r w:rsidR="00FD5E72">
        <w:t xml:space="preserve"> a que </w:t>
      </w:r>
      <w:r w:rsidR="00FD5E72" w:rsidRPr="007F71E4">
        <w:t xml:space="preserve">en el año previo </w:t>
      </w:r>
      <w:r w:rsidR="00083ED3" w:rsidRPr="007F71E4">
        <w:t xml:space="preserve">esta cuenta </w:t>
      </w:r>
      <w:r w:rsidR="00590571" w:rsidRPr="007F71E4">
        <w:t>est</w:t>
      </w:r>
      <w:r w:rsidR="00083ED3" w:rsidRPr="007F71E4">
        <w:t>aba</w:t>
      </w:r>
      <w:r w:rsidR="00590571" w:rsidRPr="007F71E4">
        <w:t xml:space="preserve"> fuertemente influenciados por el </w:t>
      </w:r>
      <w:r w:rsidR="001E221A" w:rsidRPr="007F71E4">
        <w:t>aporte otorgado del gobierno para reducir los precios de los combustibles</w:t>
      </w:r>
      <w:r w:rsidR="009D5F33" w:rsidRPr="007F71E4">
        <w:t xml:space="preserve"> ante el alza de los precios internacional</w:t>
      </w:r>
      <w:r w:rsidR="00AE1D1C" w:rsidRPr="007F71E4">
        <w:t xml:space="preserve">, </w:t>
      </w:r>
      <w:r w:rsidR="004444C2" w:rsidRPr="007F71E4">
        <w:t xml:space="preserve">el cual no </w:t>
      </w:r>
      <w:r w:rsidR="00106D16" w:rsidRPr="007F71E4">
        <w:t>continúo</w:t>
      </w:r>
      <w:r w:rsidR="004444C2" w:rsidRPr="007F71E4">
        <w:t xml:space="preserve"> durante el 2023.</w:t>
      </w:r>
    </w:p>
    <w:p w14:paraId="0F299060" w14:textId="15A5565F" w:rsidR="007220CD" w:rsidRDefault="00B37175" w:rsidP="00107B97">
      <w:pPr>
        <w:tabs>
          <w:tab w:val="left" w:pos="1803"/>
        </w:tabs>
        <w:rPr>
          <w:rFonts w:cs="Times New Roman"/>
          <w:szCs w:val="22"/>
        </w:rPr>
      </w:pPr>
      <w:r>
        <w:rPr>
          <w:rFonts w:cs="Times New Roman"/>
          <w:szCs w:val="22"/>
        </w:rPr>
        <w:t xml:space="preserve"> </w:t>
      </w:r>
    </w:p>
    <w:p w14:paraId="4E1E7B91" w14:textId="77777777" w:rsidR="008B2529" w:rsidRPr="00FC4688" w:rsidRDefault="006122C1" w:rsidP="008B2529">
      <w:pPr>
        <w:pStyle w:val="Prrafodelista"/>
        <w:numPr>
          <w:ilvl w:val="0"/>
          <w:numId w:val="1"/>
        </w:numPr>
        <w:ind w:left="426" w:hanging="426"/>
        <w:outlineLvl w:val="0"/>
        <w:rPr>
          <w:rFonts w:cs="Times New Roman"/>
          <w:b/>
          <w:sz w:val="24"/>
          <w:lang w:val="es-MX"/>
        </w:rPr>
      </w:pPr>
      <w:bookmarkStart w:id="719" w:name="_Toc42023961"/>
      <w:bookmarkStart w:id="720" w:name="_Toc42024013"/>
      <w:bookmarkStart w:id="721" w:name="_Toc411347499"/>
      <w:bookmarkStart w:id="722" w:name="_Toc141430929"/>
      <w:bookmarkEnd w:id="719"/>
      <w:bookmarkEnd w:id="720"/>
      <w:r w:rsidRPr="00FC4688">
        <w:rPr>
          <w:rFonts w:cs="Times New Roman"/>
          <w:b/>
          <w:sz w:val="24"/>
          <w:lang w:val="es-MX"/>
        </w:rPr>
        <w:t xml:space="preserve">Transacciones en Activos </w:t>
      </w:r>
      <w:r w:rsidR="00F4077C" w:rsidRPr="00FC4688">
        <w:rPr>
          <w:rFonts w:cs="Times New Roman"/>
          <w:b/>
          <w:sz w:val="24"/>
          <w:lang w:val="es-MX"/>
        </w:rPr>
        <w:t>No Financieros</w:t>
      </w:r>
      <w:bookmarkEnd w:id="722"/>
    </w:p>
    <w:p w14:paraId="0277483D" w14:textId="77777777" w:rsidR="00A72A8F" w:rsidRPr="00FC4688" w:rsidRDefault="006E4C13" w:rsidP="00C17472">
      <w:pPr>
        <w:rPr>
          <w:rFonts w:cs="Times New Roman"/>
          <w:sz w:val="24"/>
          <w:lang w:val="es-MX"/>
        </w:rPr>
      </w:pPr>
      <w:r w:rsidRPr="00FC4688">
        <w:rPr>
          <w:rFonts w:eastAsiaTheme="majorEastAsia"/>
          <w:noProof/>
          <w:lang w:eastAsia="es-GT"/>
        </w:rPr>
        <w:drawing>
          <wp:inline distT="0" distB="0" distL="0" distR="0" wp14:anchorId="442F73B6" wp14:editId="7EFD020C">
            <wp:extent cx="5836920" cy="876300"/>
            <wp:effectExtent l="76200" t="38100" r="87630" b="13335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51B087A" w14:textId="77777777" w:rsidR="00A72A8F" w:rsidRPr="00FC4688" w:rsidRDefault="00A72A8F" w:rsidP="00A72A8F">
      <w:pPr>
        <w:pStyle w:val="Prrafodelista"/>
        <w:keepNext/>
        <w:keepLines/>
        <w:numPr>
          <w:ilvl w:val="0"/>
          <w:numId w:val="12"/>
        </w:numPr>
        <w:contextualSpacing w:val="0"/>
        <w:outlineLvl w:val="1"/>
        <w:rPr>
          <w:rFonts w:eastAsiaTheme="majorEastAsia" w:cs="Times New Roman"/>
          <w:b/>
          <w:bCs/>
          <w:vanish/>
          <w:sz w:val="24"/>
          <w:szCs w:val="26"/>
          <w:lang w:val="es-ES_tradnl" w:eastAsia="es-ES"/>
        </w:rPr>
      </w:pPr>
      <w:bookmarkStart w:id="723" w:name="_Toc33109793"/>
      <w:bookmarkStart w:id="724" w:name="_Toc33109836"/>
      <w:bookmarkStart w:id="725" w:name="_Toc33180557"/>
      <w:bookmarkStart w:id="726" w:name="_Toc33180651"/>
      <w:bookmarkStart w:id="727" w:name="_Toc33193548"/>
      <w:bookmarkStart w:id="728" w:name="_Toc33193587"/>
      <w:bookmarkStart w:id="729" w:name="_Toc33196784"/>
      <w:bookmarkStart w:id="730" w:name="_Toc40691760"/>
      <w:bookmarkStart w:id="731" w:name="_Toc40959160"/>
      <w:bookmarkStart w:id="732" w:name="_Toc40975994"/>
      <w:bookmarkStart w:id="733" w:name="_Toc40976063"/>
      <w:bookmarkStart w:id="734" w:name="_Toc40993318"/>
      <w:bookmarkStart w:id="735" w:name="_Toc40993700"/>
      <w:bookmarkStart w:id="736" w:name="_Toc41037576"/>
      <w:bookmarkStart w:id="737" w:name="_Toc41254136"/>
      <w:bookmarkStart w:id="738" w:name="_Toc41254168"/>
      <w:bookmarkStart w:id="739" w:name="_Toc41254188"/>
      <w:bookmarkStart w:id="740" w:name="_Toc42023964"/>
      <w:bookmarkStart w:id="741" w:name="_Toc42024015"/>
      <w:bookmarkStart w:id="742" w:name="_Toc42069112"/>
      <w:bookmarkStart w:id="743" w:name="_Toc49422058"/>
      <w:bookmarkStart w:id="744" w:name="_Toc49422084"/>
      <w:bookmarkStart w:id="745" w:name="_Toc49430663"/>
      <w:bookmarkStart w:id="746" w:name="_Toc49430689"/>
      <w:bookmarkStart w:id="747" w:name="_Toc49750466"/>
      <w:bookmarkStart w:id="748" w:name="_Toc49750716"/>
      <w:bookmarkStart w:id="749" w:name="_Toc49750744"/>
      <w:bookmarkStart w:id="750" w:name="_Toc55284830"/>
      <w:bookmarkStart w:id="751" w:name="_Toc55298848"/>
      <w:bookmarkStart w:id="752" w:name="_Toc55373829"/>
      <w:bookmarkStart w:id="753" w:name="_Toc55374002"/>
      <w:bookmarkStart w:id="754" w:name="_Toc55375139"/>
      <w:bookmarkStart w:id="755" w:name="_Toc55396547"/>
      <w:bookmarkStart w:id="756" w:name="_Toc65230544"/>
      <w:bookmarkStart w:id="757" w:name="_Toc65230782"/>
      <w:bookmarkStart w:id="758" w:name="_Toc65232066"/>
      <w:bookmarkStart w:id="759" w:name="_Toc65232311"/>
      <w:bookmarkStart w:id="760" w:name="_Toc66716170"/>
      <w:bookmarkStart w:id="761" w:name="_Toc71097214"/>
      <w:bookmarkStart w:id="762" w:name="_Toc71097245"/>
      <w:bookmarkStart w:id="763" w:name="_Toc71097320"/>
      <w:bookmarkStart w:id="764" w:name="_Toc71108060"/>
      <w:bookmarkStart w:id="765" w:name="_Toc79055254"/>
      <w:bookmarkStart w:id="766" w:name="_Toc79055285"/>
      <w:bookmarkStart w:id="767" w:name="_Toc79060176"/>
      <w:bookmarkStart w:id="768" w:name="_Toc79060463"/>
      <w:bookmarkStart w:id="769" w:name="_Toc81307820"/>
      <w:bookmarkStart w:id="770" w:name="_Toc83376481"/>
      <w:bookmarkStart w:id="771" w:name="_Toc86386720"/>
      <w:bookmarkStart w:id="772" w:name="_Toc86405406"/>
      <w:bookmarkStart w:id="773" w:name="_Toc98162436"/>
      <w:bookmarkStart w:id="774" w:name="_Toc98162468"/>
      <w:bookmarkStart w:id="775" w:name="_Toc98234994"/>
      <w:bookmarkStart w:id="776" w:name="_Toc98235189"/>
      <w:bookmarkStart w:id="777" w:name="_Toc98235274"/>
      <w:bookmarkStart w:id="778" w:name="_Toc98757144"/>
      <w:bookmarkStart w:id="779" w:name="_Toc101874699"/>
      <w:bookmarkStart w:id="780" w:name="_Toc101954155"/>
      <w:bookmarkStart w:id="781" w:name="_Toc101971972"/>
      <w:bookmarkStart w:id="782" w:name="_Toc101974064"/>
      <w:bookmarkStart w:id="783" w:name="_Toc102039749"/>
      <w:bookmarkStart w:id="784" w:name="_Toc102039787"/>
      <w:bookmarkStart w:id="785" w:name="_Toc102039827"/>
      <w:bookmarkStart w:id="786" w:name="_Toc102039858"/>
      <w:bookmarkStart w:id="787" w:name="_Toc102040916"/>
      <w:bookmarkStart w:id="788" w:name="_Toc102477764"/>
      <w:bookmarkStart w:id="789" w:name="_Toc102477795"/>
      <w:bookmarkStart w:id="790" w:name="_Toc109824825"/>
      <w:bookmarkStart w:id="791" w:name="_Toc109828781"/>
      <w:bookmarkStart w:id="792" w:name="_Toc109828844"/>
      <w:bookmarkStart w:id="793" w:name="_Toc109829020"/>
      <w:bookmarkStart w:id="794" w:name="_Toc109829051"/>
      <w:bookmarkStart w:id="795" w:name="_Toc109833895"/>
      <w:bookmarkStart w:id="796" w:name="_Toc110237438"/>
      <w:bookmarkStart w:id="797" w:name="_Toc117775315"/>
      <w:bookmarkStart w:id="798" w:name="_Toc117781284"/>
      <w:bookmarkStart w:id="799" w:name="_Toc125620813"/>
      <w:bookmarkStart w:id="800" w:name="_Toc125620844"/>
      <w:bookmarkStart w:id="801" w:name="_Toc125620875"/>
      <w:bookmarkStart w:id="802" w:name="_Toc125620911"/>
      <w:bookmarkStart w:id="803" w:name="_Toc125620942"/>
      <w:bookmarkStart w:id="804" w:name="_Toc125620975"/>
      <w:bookmarkStart w:id="805" w:name="_Toc125621028"/>
      <w:bookmarkStart w:id="806" w:name="_Toc125621082"/>
      <w:bookmarkStart w:id="807" w:name="_Toc125623560"/>
      <w:bookmarkStart w:id="808" w:name="_Toc125623592"/>
      <w:bookmarkStart w:id="809" w:name="_Toc125623624"/>
      <w:bookmarkStart w:id="810" w:name="_Toc125970370"/>
      <w:bookmarkStart w:id="811" w:name="_Toc125970402"/>
      <w:bookmarkStart w:id="812" w:name="_Toc127365853"/>
      <w:bookmarkStart w:id="813" w:name="_Toc127434604"/>
      <w:bookmarkStart w:id="814" w:name="_Toc127436972"/>
      <w:bookmarkStart w:id="815" w:name="_Toc127437333"/>
      <w:bookmarkStart w:id="816" w:name="_Toc127437688"/>
      <w:bookmarkStart w:id="817" w:name="_Toc133492782"/>
      <w:bookmarkStart w:id="818" w:name="_Toc133492979"/>
      <w:bookmarkStart w:id="819" w:name="_Toc133493201"/>
      <w:bookmarkStart w:id="820" w:name="_Toc133497835"/>
      <w:bookmarkStart w:id="821" w:name="_Toc133505555"/>
      <w:bookmarkStart w:id="822" w:name="_Toc133576133"/>
      <w:bookmarkStart w:id="823" w:name="_Toc133576205"/>
      <w:bookmarkStart w:id="824" w:name="_Toc133576238"/>
      <w:bookmarkStart w:id="825" w:name="_Toc133576270"/>
      <w:bookmarkStart w:id="826" w:name="_Toc133576302"/>
      <w:bookmarkStart w:id="827" w:name="_Toc133576334"/>
      <w:bookmarkStart w:id="828" w:name="_Toc133576387"/>
      <w:bookmarkStart w:id="829" w:name="_Toc133576421"/>
      <w:bookmarkStart w:id="830" w:name="_Toc133576454"/>
      <w:bookmarkStart w:id="831" w:name="_Toc133576487"/>
      <w:bookmarkStart w:id="832" w:name="_Toc141108746"/>
      <w:bookmarkStart w:id="833" w:name="_Toc141172987"/>
      <w:bookmarkStart w:id="834" w:name="_Toc141277684"/>
      <w:bookmarkStart w:id="835" w:name="_Toc141277716"/>
      <w:bookmarkStart w:id="836" w:name="_Toc141430930"/>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p w14:paraId="36A443F6" w14:textId="3243F44E" w:rsidR="000F462B" w:rsidRPr="00FC4688" w:rsidRDefault="000F462B" w:rsidP="000F462B">
      <w:pPr>
        <w:pStyle w:val="Ttulo2"/>
        <w:numPr>
          <w:ilvl w:val="1"/>
          <w:numId w:val="12"/>
        </w:numPr>
        <w:tabs>
          <w:tab w:val="left" w:pos="426"/>
        </w:tabs>
        <w:spacing w:before="0"/>
        <w:ind w:left="284" w:hanging="284"/>
        <w:rPr>
          <w:rFonts w:ascii="Times New Roman" w:hAnsi="Times New Roman" w:cs="Times New Roman"/>
          <w:color w:val="auto"/>
          <w:sz w:val="24"/>
        </w:rPr>
      </w:pPr>
      <w:bookmarkStart w:id="837" w:name="_Toc141430931"/>
      <w:r w:rsidRPr="00FC4688">
        <w:rPr>
          <w:rFonts w:ascii="Times New Roman" w:hAnsi="Times New Roman" w:cs="Times New Roman"/>
          <w:color w:val="auto"/>
          <w:sz w:val="24"/>
        </w:rPr>
        <w:t xml:space="preserve">La inversión </w:t>
      </w:r>
      <w:r w:rsidR="004C202D">
        <w:rPr>
          <w:rFonts w:ascii="Times New Roman" w:hAnsi="Times New Roman" w:cs="Times New Roman"/>
          <w:color w:val="auto"/>
          <w:sz w:val="24"/>
        </w:rPr>
        <w:t xml:space="preserve">sigue </w:t>
      </w:r>
      <w:r w:rsidR="001A6717">
        <w:rPr>
          <w:rFonts w:ascii="Times New Roman" w:hAnsi="Times New Roman" w:cs="Times New Roman"/>
          <w:color w:val="auto"/>
          <w:sz w:val="24"/>
        </w:rPr>
        <w:t>aument</w:t>
      </w:r>
      <w:r w:rsidR="004C202D">
        <w:rPr>
          <w:rFonts w:ascii="Times New Roman" w:hAnsi="Times New Roman" w:cs="Times New Roman"/>
          <w:color w:val="auto"/>
          <w:sz w:val="24"/>
        </w:rPr>
        <w:t>ando</w:t>
      </w:r>
      <w:bookmarkEnd w:id="837"/>
    </w:p>
    <w:p w14:paraId="6053CD67" w14:textId="5BEC8286" w:rsidR="002B316B" w:rsidRPr="002B316B" w:rsidRDefault="002B316B" w:rsidP="002B316B">
      <w:pPr>
        <w:rPr>
          <w:rFonts w:cs="Times New Roman"/>
          <w:szCs w:val="22"/>
        </w:rPr>
      </w:pPr>
      <w:r w:rsidRPr="002B316B">
        <w:rPr>
          <w:rFonts w:cs="Times New Roman"/>
          <w:szCs w:val="22"/>
        </w:rPr>
        <w:t xml:space="preserve">La inversión bruta en activos no financieros </w:t>
      </w:r>
      <w:r w:rsidR="00A4424E">
        <w:rPr>
          <w:rFonts w:cs="Times New Roman"/>
          <w:szCs w:val="22"/>
        </w:rPr>
        <w:t xml:space="preserve">al finalizar la primera mitad del año se sitúa </w:t>
      </w:r>
      <w:r w:rsidR="00AB666C">
        <w:rPr>
          <w:rFonts w:cs="Times New Roman"/>
          <w:szCs w:val="22"/>
        </w:rPr>
        <w:t xml:space="preserve">en </w:t>
      </w:r>
      <w:r w:rsidR="00AB666C" w:rsidRPr="002B316B">
        <w:rPr>
          <w:rFonts w:cs="Times New Roman"/>
          <w:szCs w:val="22"/>
        </w:rPr>
        <w:t>Q</w:t>
      </w:r>
      <w:r w:rsidR="00A4424E">
        <w:rPr>
          <w:rFonts w:cs="Times New Roman"/>
          <w:szCs w:val="22"/>
        </w:rPr>
        <w:t>2</w:t>
      </w:r>
      <w:r w:rsidRPr="002B316B">
        <w:rPr>
          <w:rFonts w:cs="Times New Roman"/>
          <w:szCs w:val="22"/>
        </w:rPr>
        <w:t>,</w:t>
      </w:r>
      <w:r w:rsidR="00A4424E">
        <w:rPr>
          <w:rFonts w:cs="Times New Roman"/>
          <w:szCs w:val="22"/>
        </w:rPr>
        <w:t>421</w:t>
      </w:r>
      <w:r w:rsidRPr="002B316B">
        <w:rPr>
          <w:rFonts w:cs="Times New Roman"/>
          <w:szCs w:val="22"/>
        </w:rPr>
        <w:t>.</w:t>
      </w:r>
      <w:r w:rsidR="00A4424E">
        <w:rPr>
          <w:rFonts w:cs="Times New Roman"/>
          <w:szCs w:val="22"/>
        </w:rPr>
        <w:t>6</w:t>
      </w:r>
      <w:r w:rsidRPr="002B316B">
        <w:rPr>
          <w:rFonts w:cs="Times New Roman"/>
          <w:szCs w:val="22"/>
        </w:rPr>
        <w:t xml:space="preserve"> millones</w:t>
      </w:r>
      <w:r w:rsidR="00A4424E">
        <w:rPr>
          <w:rFonts w:cs="Times New Roman"/>
          <w:szCs w:val="22"/>
        </w:rPr>
        <w:t xml:space="preserve"> siendo un incremento </w:t>
      </w:r>
      <w:r w:rsidRPr="002B316B">
        <w:rPr>
          <w:rFonts w:cs="Times New Roman"/>
          <w:szCs w:val="22"/>
        </w:rPr>
        <w:t>de</w:t>
      </w:r>
      <w:r w:rsidR="0042467B">
        <w:rPr>
          <w:rFonts w:cs="Times New Roman"/>
          <w:szCs w:val="22"/>
        </w:rPr>
        <w:t>l</w:t>
      </w:r>
      <w:r w:rsidRPr="002B316B">
        <w:rPr>
          <w:rFonts w:cs="Times New Roman"/>
          <w:szCs w:val="22"/>
        </w:rPr>
        <w:t xml:space="preserve"> </w:t>
      </w:r>
      <w:r w:rsidR="00AB666C">
        <w:rPr>
          <w:rFonts w:cs="Times New Roman"/>
          <w:szCs w:val="22"/>
        </w:rPr>
        <w:t>38.2</w:t>
      </w:r>
      <w:r w:rsidRPr="002B316B">
        <w:rPr>
          <w:rFonts w:cs="Times New Roman"/>
          <w:szCs w:val="22"/>
        </w:rPr>
        <w:t>% (Q</w:t>
      </w:r>
      <w:r w:rsidR="00AB666C" w:rsidRPr="00AB666C">
        <w:rPr>
          <w:rFonts w:cs="Times New Roman"/>
          <w:szCs w:val="22"/>
        </w:rPr>
        <w:t>6</w:t>
      </w:r>
      <w:r w:rsidR="0016405A">
        <w:rPr>
          <w:rFonts w:cs="Times New Roman"/>
          <w:szCs w:val="22"/>
        </w:rPr>
        <w:t>68</w:t>
      </w:r>
      <w:r w:rsidR="00AB666C" w:rsidRPr="00AB666C">
        <w:rPr>
          <w:rFonts w:cs="Times New Roman"/>
          <w:szCs w:val="22"/>
        </w:rPr>
        <w:t>.</w:t>
      </w:r>
      <w:r w:rsidR="009E6E5F">
        <w:rPr>
          <w:rFonts w:cs="Times New Roman"/>
          <w:szCs w:val="22"/>
        </w:rPr>
        <w:t>8</w:t>
      </w:r>
      <w:r w:rsidRPr="002B316B">
        <w:rPr>
          <w:rFonts w:cs="Times New Roman"/>
          <w:szCs w:val="22"/>
        </w:rPr>
        <w:t xml:space="preserve"> millones) respecto </w:t>
      </w:r>
      <w:r w:rsidR="00AB666C">
        <w:rPr>
          <w:rFonts w:cs="Times New Roman"/>
          <w:szCs w:val="22"/>
        </w:rPr>
        <w:t>a</w:t>
      </w:r>
      <w:r w:rsidRPr="002B316B">
        <w:rPr>
          <w:rFonts w:cs="Times New Roman"/>
          <w:szCs w:val="22"/>
        </w:rPr>
        <w:t xml:space="preserve">l mismo periodo del año anterior. La mayor parte de esta inversión realizada </w:t>
      </w:r>
      <w:r w:rsidR="009C334A">
        <w:rPr>
          <w:rFonts w:cs="Times New Roman"/>
          <w:szCs w:val="22"/>
        </w:rPr>
        <w:t>se produce</w:t>
      </w:r>
      <w:r w:rsidR="003B473B">
        <w:rPr>
          <w:rFonts w:cs="Times New Roman"/>
          <w:szCs w:val="22"/>
        </w:rPr>
        <w:t xml:space="preserve"> en </w:t>
      </w:r>
      <w:r w:rsidRPr="002B316B">
        <w:rPr>
          <w:rFonts w:cs="Times New Roman"/>
          <w:szCs w:val="22"/>
        </w:rPr>
        <w:t xml:space="preserve">edificios y estructuras por </w:t>
      </w:r>
      <w:r w:rsidR="0042467B">
        <w:rPr>
          <w:rFonts w:cs="Times New Roman"/>
          <w:szCs w:val="22"/>
        </w:rPr>
        <w:t xml:space="preserve">un </w:t>
      </w:r>
      <w:r w:rsidRPr="002B316B">
        <w:rPr>
          <w:rFonts w:cs="Times New Roman"/>
          <w:szCs w:val="22"/>
        </w:rPr>
        <w:t>monto de Q</w:t>
      </w:r>
      <w:r w:rsidR="00714DE0" w:rsidRPr="00714DE0">
        <w:rPr>
          <w:rFonts w:cs="Times New Roman"/>
          <w:szCs w:val="22"/>
        </w:rPr>
        <w:t>2,047.1</w:t>
      </w:r>
      <w:r w:rsidRPr="002B316B">
        <w:rPr>
          <w:rFonts w:cs="Times New Roman"/>
          <w:szCs w:val="22"/>
        </w:rPr>
        <w:t xml:space="preserve"> millones, </w:t>
      </w:r>
      <w:r w:rsidR="00714DE0">
        <w:rPr>
          <w:rFonts w:cs="Times New Roman"/>
          <w:szCs w:val="22"/>
        </w:rPr>
        <w:t xml:space="preserve">siendo un incremento interanual </w:t>
      </w:r>
      <w:r w:rsidRPr="002B316B">
        <w:rPr>
          <w:rFonts w:cs="Times New Roman"/>
          <w:szCs w:val="22"/>
        </w:rPr>
        <w:t xml:space="preserve">del </w:t>
      </w:r>
      <w:r w:rsidR="00155803">
        <w:rPr>
          <w:rFonts w:cs="Times New Roman"/>
          <w:szCs w:val="22"/>
        </w:rPr>
        <w:t>34.7</w:t>
      </w:r>
      <w:r w:rsidRPr="002B316B">
        <w:rPr>
          <w:rFonts w:cs="Times New Roman"/>
          <w:szCs w:val="22"/>
        </w:rPr>
        <w:t>% (Q</w:t>
      </w:r>
      <w:r w:rsidR="00155803" w:rsidRPr="00155803">
        <w:rPr>
          <w:rFonts w:cs="Times New Roman"/>
          <w:szCs w:val="22"/>
        </w:rPr>
        <w:t>527.6</w:t>
      </w:r>
      <w:r w:rsidRPr="002B316B">
        <w:rPr>
          <w:rFonts w:cs="Times New Roman"/>
          <w:szCs w:val="22"/>
        </w:rPr>
        <w:t xml:space="preserve"> millones)</w:t>
      </w:r>
      <w:r w:rsidR="0042467B">
        <w:rPr>
          <w:rFonts w:cs="Times New Roman"/>
          <w:szCs w:val="22"/>
        </w:rPr>
        <w:t xml:space="preserve"> y</w:t>
      </w:r>
      <w:r w:rsidRPr="002B316B">
        <w:rPr>
          <w:rFonts w:cs="Times New Roman"/>
          <w:szCs w:val="22"/>
        </w:rPr>
        <w:t xml:space="preserve"> que se explica principalmente por </w:t>
      </w:r>
      <w:r w:rsidR="004C202D">
        <w:rPr>
          <w:rFonts w:cs="Times New Roman"/>
          <w:szCs w:val="22"/>
        </w:rPr>
        <w:t>las</w:t>
      </w:r>
      <w:r w:rsidRPr="002B316B">
        <w:rPr>
          <w:rFonts w:cs="Times New Roman"/>
          <w:szCs w:val="22"/>
        </w:rPr>
        <w:t xml:space="preserve"> </w:t>
      </w:r>
      <w:r w:rsidR="0042467B">
        <w:rPr>
          <w:rFonts w:cs="Times New Roman"/>
          <w:szCs w:val="22"/>
        </w:rPr>
        <w:t>c</w:t>
      </w:r>
      <w:r w:rsidR="0042467B" w:rsidRPr="002B316B">
        <w:rPr>
          <w:rFonts w:cs="Times New Roman"/>
          <w:szCs w:val="22"/>
        </w:rPr>
        <w:t xml:space="preserve">onstrucciones de </w:t>
      </w:r>
      <w:r w:rsidR="0042467B">
        <w:rPr>
          <w:rFonts w:cs="Times New Roman"/>
          <w:szCs w:val="22"/>
        </w:rPr>
        <w:t>b</w:t>
      </w:r>
      <w:r w:rsidR="0042467B" w:rsidRPr="002B316B">
        <w:rPr>
          <w:rFonts w:cs="Times New Roman"/>
          <w:szCs w:val="22"/>
        </w:rPr>
        <w:t xml:space="preserve">ienes </w:t>
      </w:r>
      <w:r w:rsidR="0042467B">
        <w:rPr>
          <w:rFonts w:cs="Times New Roman"/>
          <w:szCs w:val="22"/>
        </w:rPr>
        <w:t>n</w:t>
      </w:r>
      <w:r w:rsidR="0042467B" w:rsidRPr="002B316B">
        <w:rPr>
          <w:rFonts w:cs="Times New Roman"/>
          <w:szCs w:val="22"/>
        </w:rPr>
        <w:t xml:space="preserve">acionales de </w:t>
      </w:r>
      <w:r w:rsidR="0042467B">
        <w:rPr>
          <w:rFonts w:cs="Times New Roman"/>
          <w:szCs w:val="22"/>
        </w:rPr>
        <w:t>u</w:t>
      </w:r>
      <w:r w:rsidR="0042467B" w:rsidRPr="002B316B">
        <w:rPr>
          <w:rFonts w:cs="Times New Roman"/>
          <w:szCs w:val="22"/>
        </w:rPr>
        <w:t xml:space="preserve">so </w:t>
      </w:r>
      <w:r w:rsidR="0042467B">
        <w:rPr>
          <w:rFonts w:cs="Times New Roman"/>
          <w:szCs w:val="22"/>
        </w:rPr>
        <w:t>c</w:t>
      </w:r>
      <w:r w:rsidR="0042467B" w:rsidRPr="002B316B">
        <w:rPr>
          <w:rFonts w:cs="Times New Roman"/>
          <w:szCs w:val="22"/>
        </w:rPr>
        <w:t>omún</w:t>
      </w:r>
      <w:r w:rsidRPr="002B316B">
        <w:rPr>
          <w:rFonts w:cs="Times New Roman"/>
          <w:szCs w:val="22"/>
        </w:rPr>
        <w:t xml:space="preserve"> (que incluye las </w:t>
      </w:r>
      <w:r w:rsidRPr="009C7D1A">
        <w:rPr>
          <w:rFonts w:cs="Times New Roman"/>
          <w:szCs w:val="22"/>
        </w:rPr>
        <w:t>construcciones y ampliaciones de carreteras y puentes, entre otros) con una ejecución de Q</w:t>
      </w:r>
      <w:r w:rsidR="00D542AD" w:rsidRPr="009C7D1A">
        <w:rPr>
          <w:rFonts w:cs="Times New Roman"/>
          <w:szCs w:val="22"/>
        </w:rPr>
        <w:t>1,392.9</w:t>
      </w:r>
      <w:r w:rsidRPr="009C7D1A">
        <w:rPr>
          <w:rFonts w:cs="Times New Roman"/>
          <w:szCs w:val="22"/>
        </w:rPr>
        <w:t xml:space="preserve"> millones</w:t>
      </w:r>
      <w:r w:rsidR="00D542AD" w:rsidRPr="009C7D1A">
        <w:rPr>
          <w:rFonts w:cs="Times New Roman"/>
          <w:szCs w:val="22"/>
        </w:rPr>
        <w:t xml:space="preserve"> y un aumento del 7</w:t>
      </w:r>
      <w:r w:rsidR="00F2687F" w:rsidRPr="009C7D1A">
        <w:rPr>
          <w:rFonts w:cs="Times New Roman"/>
          <w:szCs w:val="22"/>
        </w:rPr>
        <w:t>.1</w:t>
      </w:r>
      <w:r w:rsidR="00D542AD" w:rsidRPr="009C7D1A">
        <w:rPr>
          <w:rFonts w:cs="Times New Roman"/>
          <w:szCs w:val="22"/>
        </w:rPr>
        <w:t>% (Q92.4 millones)</w:t>
      </w:r>
      <w:r w:rsidRPr="009C7D1A">
        <w:rPr>
          <w:rFonts w:cs="Times New Roman"/>
          <w:szCs w:val="22"/>
        </w:rPr>
        <w:t xml:space="preserve">, seguido por la inversión </w:t>
      </w:r>
      <w:r w:rsidR="00C15C9C" w:rsidRPr="009C7D1A">
        <w:rPr>
          <w:rFonts w:cs="Times New Roman"/>
          <w:szCs w:val="22"/>
        </w:rPr>
        <w:t>realizada para las</w:t>
      </w:r>
      <w:r w:rsidRPr="009C7D1A">
        <w:rPr>
          <w:rFonts w:cs="Times New Roman"/>
          <w:szCs w:val="22"/>
        </w:rPr>
        <w:t xml:space="preserve"> </w:t>
      </w:r>
      <w:r w:rsidR="0042467B" w:rsidRPr="009C7D1A">
        <w:rPr>
          <w:rFonts w:cs="Times New Roman"/>
          <w:szCs w:val="22"/>
        </w:rPr>
        <w:t xml:space="preserve">construcciones de bienes nacionales de uso no común </w:t>
      </w:r>
      <w:r w:rsidRPr="009C7D1A">
        <w:rPr>
          <w:rFonts w:cs="Times New Roman"/>
          <w:szCs w:val="22"/>
        </w:rPr>
        <w:t xml:space="preserve">(que considera la construcción de escuelas, hospitales y edificios, entre otros) </w:t>
      </w:r>
      <w:r w:rsidR="00E072E6" w:rsidRPr="009C7D1A">
        <w:rPr>
          <w:rFonts w:cs="Times New Roman"/>
          <w:szCs w:val="22"/>
        </w:rPr>
        <w:t>con una inversión acumulada</w:t>
      </w:r>
      <w:r w:rsidRPr="009C7D1A">
        <w:rPr>
          <w:rFonts w:cs="Times New Roman"/>
          <w:szCs w:val="22"/>
        </w:rPr>
        <w:t xml:space="preserve"> de Q</w:t>
      </w:r>
      <w:r w:rsidR="00E072E6" w:rsidRPr="009C7D1A">
        <w:rPr>
          <w:rFonts w:cs="Times New Roman"/>
          <w:szCs w:val="22"/>
        </w:rPr>
        <w:t xml:space="preserve">549.7 </w:t>
      </w:r>
      <w:r w:rsidRPr="009C7D1A">
        <w:rPr>
          <w:rFonts w:cs="Times New Roman"/>
          <w:szCs w:val="22"/>
        </w:rPr>
        <w:t>millones</w:t>
      </w:r>
      <w:r w:rsidR="00E072E6" w:rsidRPr="009C7D1A">
        <w:rPr>
          <w:rFonts w:cs="Times New Roman"/>
          <w:szCs w:val="22"/>
        </w:rPr>
        <w:t xml:space="preserve"> siendo un aumento del 221.</w:t>
      </w:r>
      <w:r w:rsidR="00F2687F" w:rsidRPr="009C7D1A">
        <w:rPr>
          <w:rFonts w:cs="Times New Roman"/>
          <w:szCs w:val="22"/>
        </w:rPr>
        <w:t>2</w:t>
      </w:r>
      <w:r w:rsidR="00E072E6" w:rsidRPr="009C7D1A">
        <w:rPr>
          <w:rFonts w:cs="Times New Roman"/>
          <w:szCs w:val="22"/>
        </w:rPr>
        <w:t>% (Q</w:t>
      </w:r>
      <w:r w:rsidR="009C5800" w:rsidRPr="009C7D1A">
        <w:rPr>
          <w:rFonts w:cs="Times New Roman"/>
          <w:szCs w:val="22"/>
        </w:rPr>
        <w:t>378.6 millones)</w:t>
      </w:r>
      <w:r w:rsidRPr="009C7D1A">
        <w:rPr>
          <w:rFonts w:cs="Times New Roman"/>
          <w:szCs w:val="22"/>
        </w:rPr>
        <w:t>.</w:t>
      </w:r>
    </w:p>
    <w:p w14:paraId="09FBC4F5" w14:textId="77777777" w:rsidR="002B316B" w:rsidRPr="002B316B" w:rsidRDefault="002B316B" w:rsidP="002B316B">
      <w:pPr>
        <w:rPr>
          <w:rFonts w:cs="Times New Roman"/>
          <w:szCs w:val="22"/>
        </w:rPr>
      </w:pPr>
    </w:p>
    <w:p w14:paraId="3A279263" w14:textId="1C7A8B5F" w:rsidR="00EC6A25" w:rsidRDefault="002B316B" w:rsidP="002B316B">
      <w:pPr>
        <w:rPr>
          <w:rFonts w:cs="Times New Roman"/>
          <w:szCs w:val="22"/>
        </w:rPr>
      </w:pPr>
      <w:r w:rsidRPr="002B316B">
        <w:rPr>
          <w:rFonts w:cs="Times New Roman"/>
          <w:szCs w:val="22"/>
        </w:rPr>
        <w:t>Por su parte, la inversión en maquinaria y equipo fue de Q</w:t>
      </w:r>
      <w:r w:rsidR="00203C5B">
        <w:rPr>
          <w:rFonts w:cs="Times New Roman"/>
          <w:szCs w:val="22"/>
        </w:rPr>
        <w:t>372.3</w:t>
      </w:r>
      <w:r w:rsidRPr="002B316B">
        <w:rPr>
          <w:rFonts w:cs="Times New Roman"/>
          <w:szCs w:val="22"/>
        </w:rPr>
        <w:t xml:space="preserve"> millones</w:t>
      </w:r>
      <w:r w:rsidR="000F794A">
        <w:rPr>
          <w:rFonts w:cs="Times New Roman"/>
          <w:szCs w:val="22"/>
        </w:rPr>
        <w:t>,</w:t>
      </w:r>
      <w:r w:rsidRPr="002B316B">
        <w:rPr>
          <w:rFonts w:cs="Times New Roman"/>
          <w:szCs w:val="22"/>
        </w:rPr>
        <w:t xml:space="preserve"> con incremento del </w:t>
      </w:r>
      <w:r w:rsidR="00203C5B">
        <w:rPr>
          <w:rFonts w:cs="Times New Roman"/>
          <w:szCs w:val="22"/>
        </w:rPr>
        <w:t>64.6</w:t>
      </w:r>
      <w:r w:rsidRPr="002B316B">
        <w:rPr>
          <w:rFonts w:cs="Times New Roman"/>
          <w:szCs w:val="22"/>
        </w:rPr>
        <w:t>% (Q</w:t>
      </w:r>
      <w:r w:rsidR="00203C5B">
        <w:rPr>
          <w:rFonts w:cs="Times New Roman"/>
          <w:szCs w:val="22"/>
        </w:rPr>
        <w:t>146.2</w:t>
      </w:r>
      <w:r w:rsidRPr="002B316B">
        <w:rPr>
          <w:rFonts w:cs="Times New Roman"/>
          <w:szCs w:val="22"/>
        </w:rPr>
        <w:t xml:space="preserve"> millones) respecto al año anterior</w:t>
      </w:r>
      <w:r w:rsidR="00486AC6">
        <w:rPr>
          <w:rFonts w:cs="Times New Roman"/>
          <w:szCs w:val="22"/>
        </w:rPr>
        <w:t>.</w:t>
      </w:r>
    </w:p>
    <w:p w14:paraId="09F5456C" w14:textId="77777777" w:rsidR="00282CA6" w:rsidRPr="00FC4688" w:rsidRDefault="00282CA6" w:rsidP="002B316B">
      <w:pPr>
        <w:rPr>
          <w:rFonts w:cs="Times New Roman"/>
          <w:szCs w:val="22"/>
        </w:rPr>
      </w:pPr>
    </w:p>
    <w:p w14:paraId="60675D19" w14:textId="16A352C7" w:rsidR="00A90ED3" w:rsidRDefault="00A90ED3" w:rsidP="00CD34D6">
      <w:pPr>
        <w:rPr>
          <w:rFonts w:cs="Times New Roman"/>
          <w:szCs w:val="22"/>
        </w:rPr>
      </w:pPr>
      <w:r w:rsidRPr="00FC4688">
        <w:rPr>
          <w:rFonts w:cs="Times New Roman"/>
          <w:noProof/>
          <w:szCs w:val="22"/>
          <w:lang w:eastAsia="es-GT"/>
        </w:rPr>
        <w:drawing>
          <wp:inline distT="0" distB="0" distL="0" distR="0" wp14:anchorId="12AB5EFB" wp14:editId="523DA210">
            <wp:extent cx="6011545" cy="1917511"/>
            <wp:effectExtent l="0" t="0" r="8255" b="698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2ADD9C0" w14:textId="1A19FE99" w:rsidR="00B435E7" w:rsidRDefault="001D54E4" w:rsidP="007B2224">
      <w:pPr>
        <w:pStyle w:val="Prrafodelista"/>
        <w:numPr>
          <w:ilvl w:val="0"/>
          <w:numId w:val="1"/>
        </w:numPr>
        <w:ind w:left="426" w:hanging="426"/>
        <w:outlineLvl w:val="0"/>
        <w:rPr>
          <w:rFonts w:cs="Times New Roman"/>
          <w:b/>
          <w:sz w:val="24"/>
          <w:lang w:val="es-MX"/>
        </w:rPr>
      </w:pPr>
      <w:bookmarkStart w:id="838" w:name="_Toc42023966"/>
      <w:bookmarkStart w:id="839" w:name="_Toc42024017"/>
      <w:bookmarkStart w:id="840" w:name="_Toc42023967"/>
      <w:bookmarkStart w:id="841" w:name="_Toc42024018"/>
      <w:bookmarkStart w:id="842" w:name="_Toc141430932"/>
      <w:bookmarkEnd w:id="838"/>
      <w:bookmarkEnd w:id="839"/>
      <w:bookmarkEnd w:id="840"/>
      <w:bookmarkEnd w:id="841"/>
      <w:r w:rsidRPr="00FC4688">
        <w:rPr>
          <w:rFonts w:cs="Times New Roman"/>
          <w:b/>
          <w:sz w:val="24"/>
          <w:lang w:val="es-MX"/>
        </w:rPr>
        <w:t>Financiamiento</w:t>
      </w:r>
      <w:bookmarkEnd w:id="842"/>
    </w:p>
    <w:p w14:paraId="7248E987" w14:textId="77777777" w:rsidR="000F794A" w:rsidRPr="00FC4688" w:rsidRDefault="000F794A" w:rsidP="000F794A">
      <w:pPr>
        <w:pStyle w:val="Prrafodelista"/>
        <w:ind w:left="426"/>
        <w:outlineLvl w:val="0"/>
        <w:rPr>
          <w:rFonts w:cs="Times New Roman"/>
          <w:b/>
          <w:sz w:val="24"/>
          <w:lang w:val="es-MX"/>
        </w:rPr>
      </w:pPr>
    </w:p>
    <w:p w14:paraId="5287581E" w14:textId="77777777" w:rsidR="000F19C1" w:rsidRPr="00FC4688" w:rsidRDefault="000F19C1" w:rsidP="000F19C1">
      <w:pPr>
        <w:pStyle w:val="Prrafodelista"/>
        <w:keepNext/>
        <w:keepLines/>
        <w:numPr>
          <w:ilvl w:val="0"/>
          <w:numId w:val="12"/>
        </w:numPr>
        <w:tabs>
          <w:tab w:val="left" w:pos="426"/>
        </w:tabs>
        <w:spacing w:after="120"/>
        <w:contextualSpacing w:val="0"/>
        <w:outlineLvl w:val="1"/>
        <w:rPr>
          <w:rFonts w:eastAsiaTheme="majorEastAsia" w:cs="Times New Roman"/>
          <w:b/>
          <w:bCs/>
          <w:vanish/>
          <w:sz w:val="24"/>
          <w:szCs w:val="26"/>
          <w:lang w:eastAsia="es-ES"/>
        </w:rPr>
      </w:pPr>
      <w:bookmarkStart w:id="843" w:name="_Toc55374005"/>
      <w:bookmarkStart w:id="844" w:name="_Toc55375142"/>
      <w:bookmarkStart w:id="845" w:name="_Toc55396550"/>
      <w:bookmarkStart w:id="846" w:name="_Toc65230547"/>
      <w:bookmarkStart w:id="847" w:name="_Toc65230785"/>
      <w:bookmarkStart w:id="848" w:name="_Toc65232069"/>
      <w:bookmarkStart w:id="849" w:name="_Toc65232314"/>
      <w:bookmarkStart w:id="850" w:name="_Toc66716173"/>
      <w:bookmarkStart w:id="851" w:name="_Toc71097217"/>
      <w:bookmarkStart w:id="852" w:name="_Toc71097248"/>
      <w:bookmarkStart w:id="853" w:name="_Toc71097323"/>
      <w:bookmarkStart w:id="854" w:name="_Toc71108063"/>
      <w:bookmarkStart w:id="855" w:name="_Toc79055257"/>
      <w:bookmarkStart w:id="856" w:name="_Toc79055288"/>
      <w:bookmarkStart w:id="857" w:name="_Toc79060179"/>
      <w:bookmarkStart w:id="858" w:name="_Toc79060466"/>
      <w:bookmarkStart w:id="859" w:name="_Toc81307823"/>
      <w:bookmarkStart w:id="860" w:name="_Toc83376484"/>
      <w:bookmarkStart w:id="861" w:name="_Toc86386723"/>
      <w:bookmarkStart w:id="862" w:name="_Toc86405409"/>
      <w:bookmarkStart w:id="863" w:name="_Toc98162439"/>
      <w:bookmarkStart w:id="864" w:name="_Toc98162471"/>
      <w:bookmarkStart w:id="865" w:name="_Toc98234997"/>
      <w:bookmarkStart w:id="866" w:name="_Toc98235192"/>
      <w:bookmarkStart w:id="867" w:name="_Toc98235277"/>
      <w:bookmarkStart w:id="868" w:name="_Toc98757147"/>
      <w:bookmarkStart w:id="869" w:name="_Toc101874702"/>
      <w:bookmarkStart w:id="870" w:name="_Toc101954158"/>
      <w:bookmarkStart w:id="871" w:name="_Toc101971975"/>
      <w:bookmarkStart w:id="872" w:name="_Toc101974067"/>
      <w:bookmarkStart w:id="873" w:name="_Toc102039752"/>
      <w:bookmarkStart w:id="874" w:name="_Toc102039790"/>
      <w:bookmarkStart w:id="875" w:name="_Toc102039830"/>
      <w:bookmarkStart w:id="876" w:name="_Toc102039861"/>
      <w:bookmarkStart w:id="877" w:name="_Toc102040919"/>
      <w:bookmarkStart w:id="878" w:name="_Toc102477767"/>
      <w:bookmarkStart w:id="879" w:name="_Toc102477798"/>
      <w:bookmarkStart w:id="880" w:name="_Toc109824828"/>
      <w:bookmarkStart w:id="881" w:name="_Toc109828784"/>
      <w:bookmarkStart w:id="882" w:name="_Toc109828847"/>
      <w:bookmarkStart w:id="883" w:name="_Toc109829023"/>
      <w:bookmarkStart w:id="884" w:name="_Toc109829054"/>
      <w:bookmarkStart w:id="885" w:name="_Toc109833898"/>
      <w:bookmarkStart w:id="886" w:name="_Toc110237441"/>
      <w:bookmarkStart w:id="887" w:name="_Toc117775318"/>
      <w:bookmarkStart w:id="888" w:name="_Toc117781287"/>
      <w:bookmarkStart w:id="889" w:name="_Toc125620816"/>
      <w:bookmarkStart w:id="890" w:name="_Toc125620847"/>
      <w:bookmarkStart w:id="891" w:name="_Toc125620878"/>
      <w:bookmarkStart w:id="892" w:name="_Toc125620914"/>
      <w:bookmarkStart w:id="893" w:name="_Toc125620945"/>
      <w:bookmarkStart w:id="894" w:name="_Toc125620978"/>
      <w:bookmarkStart w:id="895" w:name="_Toc125621031"/>
      <w:bookmarkStart w:id="896" w:name="_Toc125621085"/>
      <w:bookmarkStart w:id="897" w:name="_Toc125623563"/>
      <w:bookmarkStart w:id="898" w:name="_Toc125623595"/>
      <w:bookmarkStart w:id="899" w:name="_Toc125623627"/>
      <w:bookmarkStart w:id="900" w:name="_Toc125970373"/>
      <w:bookmarkStart w:id="901" w:name="_Toc125970405"/>
      <w:bookmarkStart w:id="902" w:name="_Toc127365856"/>
      <w:bookmarkStart w:id="903" w:name="_Toc127434607"/>
      <w:bookmarkStart w:id="904" w:name="_Toc127436975"/>
      <w:bookmarkStart w:id="905" w:name="_Toc127437336"/>
      <w:bookmarkStart w:id="906" w:name="_Toc127437691"/>
      <w:bookmarkStart w:id="907" w:name="_Toc133492785"/>
      <w:bookmarkStart w:id="908" w:name="_Toc133492982"/>
      <w:bookmarkStart w:id="909" w:name="_Toc133493204"/>
      <w:bookmarkStart w:id="910" w:name="_Toc133497838"/>
      <w:bookmarkStart w:id="911" w:name="_Toc133505558"/>
      <w:bookmarkStart w:id="912" w:name="_Toc133576136"/>
      <w:bookmarkStart w:id="913" w:name="_Toc133576208"/>
      <w:bookmarkStart w:id="914" w:name="_Toc133576241"/>
      <w:bookmarkStart w:id="915" w:name="_Toc133576273"/>
      <w:bookmarkStart w:id="916" w:name="_Toc133576305"/>
      <w:bookmarkStart w:id="917" w:name="_Toc133576337"/>
      <w:bookmarkStart w:id="918" w:name="_Toc133576390"/>
      <w:bookmarkStart w:id="919" w:name="_Toc133576424"/>
      <w:bookmarkStart w:id="920" w:name="_Toc133576457"/>
      <w:bookmarkStart w:id="921" w:name="_Toc133576490"/>
      <w:bookmarkStart w:id="922" w:name="_Toc141108749"/>
      <w:bookmarkStart w:id="923" w:name="_Toc141172990"/>
      <w:bookmarkStart w:id="924" w:name="_Toc141277687"/>
      <w:bookmarkStart w:id="925" w:name="_Toc141277719"/>
      <w:bookmarkStart w:id="926" w:name="_Toc141430933"/>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14:paraId="52D94915" w14:textId="1A1E37F4" w:rsidR="00E44C78" w:rsidRPr="00FC4688" w:rsidRDefault="00612853" w:rsidP="00E44C78">
      <w:pPr>
        <w:pStyle w:val="Ttulo2"/>
        <w:numPr>
          <w:ilvl w:val="1"/>
          <w:numId w:val="12"/>
        </w:numPr>
        <w:tabs>
          <w:tab w:val="left" w:pos="426"/>
        </w:tabs>
        <w:spacing w:before="0"/>
        <w:rPr>
          <w:rFonts w:ascii="Times New Roman" w:hAnsi="Times New Roman" w:cs="Times New Roman"/>
          <w:color w:val="auto"/>
          <w:sz w:val="24"/>
        </w:rPr>
      </w:pPr>
      <w:bookmarkStart w:id="927" w:name="_Toc141430934"/>
      <w:r>
        <w:rPr>
          <w:rFonts w:ascii="Times New Roman" w:hAnsi="Times New Roman" w:cs="Times New Roman"/>
          <w:color w:val="auto"/>
          <w:sz w:val="24"/>
        </w:rPr>
        <w:t>Leve incremento en los activos financieros</w:t>
      </w:r>
      <w:bookmarkEnd w:id="927"/>
    </w:p>
    <w:p w14:paraId="2DEE9A2F" w14:textId="61FEC467" w:rsidR="009F6CEB" w:rsidRDefault="0060201F" w:rsidP="00F46ECF">
      <w:r w:rsidRPr="0060201F">
        <w:t>Los activos financieros al segundo trimestre de 2023 mostraron</w:t>
      </w:r>
      <w:r w:rsidR="00F22D7E">
        <w:t xml:space="preserve"> un</w:t>
      </w:r>
      <w:r w:rsidRPr="0060201F">
        <w:t xml:space="preserve"> incremento de Q521.2 millones, de los cuales, la cuenta de billetes, monedas y depósitos (caja y bancos) ha sido la principal </w:t>
      </w:r>
      <w:r w:rsidR="00FF3E42">
        <w:t>cuenta</w:t>
      </w:r>
      <w:r w:rsidRPr="0060201F">
        <w:t xml:space="preserve"> </w:t>
      </w:r>
      <w:r w:rsidR="002F2932">
        <w:t>en los activos financieros,</w:t>
      </w:r>
      <w:r w:rsidR="00D52E47">
        <w:t xml:space="preserve"> </w:t>
      </w:r>
      <w:r w:rsidRPr="0060201F">
        <w:t xml:space="preserve">con </w:t>
      </w:r>
      <w:r w:rsidR="00AE1D1C">
        <w:t xml:space="preserve">un </w:t>
      </w:r>
      <w:r w:rsidRPr="0060201F">
        <w:t>incremento de Q550.4 millones</w:t>
      </w:r>
      <w:r w:rsidR="008E78B7">
        <w:t>.</w:t>
      </w:r>
      <w:r w:rsidRPr="0060201F">
        <w:t xml:space="preserve"> </w:t>
      </w:r>
      <w:r w:rsidR="008E78B7">
        <w:t>P</w:t>
      </w:r>
      <w:r w:rsidRPr="0060201F">
        <w:t>or su parte</w:t>
      </w:r>
      <w:r w:rsidR="008E78B7">
        <w:t>,</w:t>
      </w:r>
      <w:r w:rsidRPr="0060201F">
        <w:t xml:space="preserve"> los</w:t>
      </w:r>
      <w:r w:rsidR="008E78B7">
        <w:t xml:space="preserve"> activos por</w:t>
      </w:r>
      <w:r w:rsidRPr="0060201F">
        <w:t xml:space="preserve"> préstamos disminuyeron en Q29.1 millones derivado principalmente a la </w:t>
      </w:r>
      <w:r w:rsidRPr="00751779">
        <w:t>recuperación de los préstamos otorgados a través del fideicomiso del Fondo de Desarrollo de la Microempresa, Pequeña y Mediana Empresa.</w:t>
      </w:r>
    </w:p>
    <w:p w14:paraId="7B42A803" w14:textId="6C604AC6" w:rsidR="001E71BF" w:rsidRPr="00FC4688" w:rsidRDefault="001E71BF" w:rsidP="001E71BF">
      <w:pPr>
        <w:rPr>
          <w:rFonts w:cs="Times New Roman"/>
          <w:sz w:val="16"/>
          <w:szCs w:val="22"/>
          <w:lang w:val="es-MX"/>
        </w:rPr>
      </w:pPr>
    </w:p>
    <w:tbl>
      <w:tblPr>
        <w:tblStyle w:val="Tablaconcuadrcula"/>
        <w:tblW w:w="93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18"/>
        <w:gridCol w:w="3726"/>
      </w:tblGrid>
      <w:tr w:rsidR="00AA1560" w:rsidRPr="00FC4688" w14:paraId="21073FD5" w14:textId="77777777" w:rsidTr="00AA1560">
        <w:trPr>
          <w:trHeight w:val="7"/>
          <w:jc w:val="center"/>
        </w:trPr>
        <w:tc>
          <w:tcPr>
            <w:tcW w:w="9344" w:type="dxa"/>
            <w:gridSpan w:val="2"/>
          </w:tcPr>
          <w:p w14:paraId="60184A79" w14:textId="77777777" w:rsidR="00AA1560" w:rsidRPr="00FC4688" w:rsidRDefault="00AA1560" w:rsidP="00AA1560">
            <w:pPr>
              <w:jc w:val="center"/>
              <w:rPr>
                <w:b/>
                <w:bCs/>
              </w:rPr>
            </w:pPr>
            <w:r w:rsidRPr="00FC4688">
              <w:rPr>
                <w:b/>
                <w:bCs/>
              </w:rPr>
              <w:t xml:space="preserve">Incurrimiento neto de activos financieros </w:t>
            </w:r>
            <w:r>
              <w:rPr>
                <w:b/>
                <w:bCs/>
              </w:rPr>
              <w:t>a junio</w:t>
            </w:r>
            <w:r w:rsidRPr="00FC4688">
              <w:rPr>
                <w:b/>
                <w:bCs/>
              </w:rPr>
              <w:t xml:space="preserve"> de 202</w:t>
            </w:r>
            <w:r>
              <w:rPr>
                <w:b/>
                <w:bCs/>
              </w:rPr>
              <w:t>3</w:t>
            </w:r>
            <w:r w:rsidRPr="00FC4688">
              <w:rPr>
                <w:b/>
                <w:bCs/>
              </w:rPr>
              <w:t>*</w:t>
            </w:r>
          </w:p>
          <w:p w14:paraId="3B3CA809" w14:textId="3FE800AB" w:rsidR="00AA1560" w:rsidRPr="00FC4688" w:rsidRDefault="00AA1560" w:rsidP="00AA1560">
            <w:pPr>
              <w:jc w:val="center"/>
            </w:pPr>
            <w:r w:rsidRPr="00FC4688">
              <w:rPr>
                <w:sz w:val="20"/>
                <w:szCs w:val="22"/>
              </w:rPr>
              <w:t>En millones de quetzales y porcentajes</w:t>
            </w:r>
          </w:p>
        </w:tc>
      </w:tr>
      <w:tr w:rsidR="00AA1560" w:rsidRPr="00FC4688" w14:paraId="795AFFEB" w14:textId="77777777" w:rsidTr="00AA1560">
        <w:trPr>
          <w:trHeight w:val="109"/>
          <w:jc w:val="center"/>
        </w:trPr>
        <w:tc>
          <w:tcPr>
            <w:tcW w:w="5618" w:type="dxa"/>
            <w:tcBorders>
              <w:right w:val="single" w:sz="4" w:space="0" w:color="auto"/>
            </w:tcBorders>
            <w:shd w:val="clear" w:color="auto" w:fill="auto"/>
          </w:tcPr>
          <w:p w14:paraId="2E288AB3" w14:textId="01523901" w:rsidR="00AA1560" w:rsidRPr="00FC4688" w:rsidRDefault="00AA1560" w:rsidP="00766C34">
            <w:r w:rsidRPr="00FC4688">
              <w:rPr>
                <w:b/>
                <w:bCs/>
                <w:noProof/>
                <w:lang w:eastAsia="es-GT"/>
              </w:rPr>
              <w:drawing>
                <wp:inline distT="0" distB="0" distL="0" distR="0" wp14:anchorId="4A617ECE" wp14:editId="194A7B75">
                  <wp:extent cx="3365500" cy="2060575"/>
                  <wp:effectExtent l="0" t="0" r="6350" b="0"/>
                  <wp:docPr id="104748677" name="Gráfico 104748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3725" w:type="dxa"/>
            <w:tcBorders>
              <w:left w:val="single" w:sz="4" w:space="0" w:color="auto"/>
            </w:tcBorders>
          </w:tcPr>
          <w:p w14:paraId="645DB0F8" w14:textId="102101A4" w:rsidR="00AA1560" w:rsidRPr="00FC4688" w:rsidRDefault="00AA1560" w:rsidP="00766C34">
            <w:pPr>
              <w:ind w:right="-183"/>
            </w:pPr>
            <w:r w:rsidRPr="00FC4688">
              <w:rPr>
                <w:noProof/>
                <w:lang w:eastAsia="es-GT"/>
              </w:rPr>
              <w:drawing>
                <wp:inline distT="0" distB="0" distL="0" distR="0" wp14:anchorId="5D489F55" wp14:editId="461566E8">
                  <wp:extent cx="2562225" cy="2033516"/>
                  <wp:effectExtent l="0" t="0" r="0" b="5080"/>
                  <wp:docPr id="5574826" name="Gráfico 55748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AA1560" w:rsidRPr="00FC4688" w14:paraId="153B9774" w14:textId="77777777" w:rsidTr="00AA1560">
        <w:trPr>
          <w:trHeight w:val="109"/>
          <w:jc w:val="center"/>
        </w:trPr>
        <w:tc>
          <w:tcPr>
            <w:tcW w:w="5618" w:type="dxa"/>
            <w:shd w:val="clear" w:color="auto" w:fill="auto"/>
          </w:tcPr>
          <w:p w14:paraId="3318D4CE" w14:textId="77777777" w:rsidR="00AA1560" w:rsidRPr="00AC1506" w:rsidRDefault="00AA1560" w:rsidP="00766C34">
            <w:pPr>
              <w:rPr>
                <w:noProof/>
                <w:lang w:eastAsia="es-GT"/>
              </w:rPr>
            </w:pPr>
          </w:p>
        </w:tc>
        <w:tc>
          <w:tcPr>
            <w:tcW w:w="3725" w:type="dxa"/>
          </w:tcPr>
          <w:p w14:paraId="5AA8B52E" w14:textId="77777777" w:rsidR="00AA1560" w:rsidRDefault="00AA1560" w:rsidP="00766C34">
            <w:pPr>
              <w:ind w:right="-183"/>
              <w:rPr>
                <w:noProof/>
              </w:rPr>
            </w:pPr>
          </w:p>
        </w:tc>
      </w:tr>
      <w:tr w:rsidR="00AA1560" w:rsidRPr="00FC4688" w14:paraId="4D79B516" w14:textId="77777777" w:rsidTr="00AA1560">
        <w:trPr>
          <w:trHeight w:val="109"/>
          <w:jc w:val="center"/>
        </w:trPr>
        <w:tc>
          <w:tcPr>
            <w:tcW w:w="5618" w:type="dxa"/>
            <w:shd w:val="clear" w:color="auto" w:fill="auto"/>
          </w:tcPr>
          <w:p w14:paraId="5124F30B" w14:textId="77777777" w:rsidR="00AA1560" w:rsidRPr="00FC4688" w:rsidRDefault="00AA1560" w:rsidP="00AA1560">
            <w:pPr>
              <w:rPr>
                <w:rFonts w:cs="Times New Roman"/>
                <w:sz w:val="16"/>
                <w:szCs w:val="22"/>
                <w:lang w:val="es-MX"/>
              </w:rPr>
            </w:pPr>
            <w:r w:rsidRPr="00FC4688">
              <w:rPr>
                <w:rFonts w:cs="Times New Roman"/>
                <w:sz w:val="16"/>
                <w:szCs w:val="22"/>
                <w:lang w:val="es-MX"/>
              </w:rPr>
              <w:t>*Cifras preliminares</w:t>
            </w:r>
          </w:p>
          <w:p w14:paraId="118CD5F9" w14:textId="77777777" w:rsidR="00AA1560" w:rsidRPr="00FC4688" w:rsidRDefault="00AA1560" w:rsidP="00AA1560">
            <w:pPr>
              <w:rPr>
                <w:rFonts w:cs="Times New Roman"/>
                <w:sz w:val="16"/>
                <w:szCs w:val="22"/>
                <w:lang w:val="es-MX"/>
              </w:rPr>
            </w:pPr>
            <w:r w:rsidRPr="00FC4688">
              <w:rPr>
                <w:rFonts w:cs="Times New Roman"/>
                <w:sz w:val="16"/>
                <w:szCs w:val="22"/>
                <w:lang w:val="es-MX"/>
              </w:rPr>
              <w:t>Fuente: MINFIN</w:t>
            </w:r>
          </w:p>
          <w:p w14:paraId="29478265" w14:textId="77777777" w:rsidR="00AA1560" w:rsidRPr="00AC1506" w:rsidRDefault="00AA1560" w:rsidP="00766C34">
            <w:pPr>
              <w:rPr>
                <w:noProof/>
                <w:lang w:eastAsia="es-GT"/>
              </w:rPr>
            </w:pPr>
          </w:p>
        </w:tc>
        <w:tc>
          <w:tcPr>
            <w:tcW w:w="3725" w:type="dxa"/>
          </w:tcPr>
          <w:p w14:paraId="37623435" w14:textId="77777777" w:rsidR="00AA1560" w:rsidRDefault="00AA1560" w:rsidP="00766C34">
            <w:pPr>
              <w:ind w:right="-183"/>
              <w:rPr>
                <w:noProof/>
              </w:rPr>
            </w:pPr>
          </w:p>
        </w:tc>
      </w:tr>
    </w:tbl>
    <w:p w14:paraId="19F7C5EB" w14:textId="03D05113" w:rsidR="0079227F" w:rsidRPr="0039579C" w:rsidRDefault="00612853" w:rsidP="0039579C">
      <w:pPr>
        <w:pStyle w:val="Ttulo2"/>
        <w:numPr>
          <w:ilvl w:val="1"/>
          <w:numId w:val="12"/>
        </w:numPr>
        <w:tabs>
          <w:tab w:val="left" w:pos="426"/>
        </w:tabs>
        <w:spacing w:before="0"/>
        <w:rPr>
          <w:rFonts w:ascii="Times New Roman" w:hAnsi="Times New Roman" w:cs="Times New Roman"/>
          <w:color w:val="auto"/>
          <w:sz w:val="24"/>
        </w:rPr>
      </w:pPr>
      <w:bookmarkStart w:id="928" w:name="_Toc141430935"/>
      <w:r>
        <w:rPr>
          <w:rFonts w:ascii="Times New Roman" w:hAnsi="Times New Roman" w:cs="Times New Roman"/>
          <w:color w:val="auto"/>
          <w:sz w:val="24"/>
        </w:rPr>
        <w:t>Aumento de los pasivos como fuente de financiamiento</w:t>
      </w:r>
      <w:bookmarkEnd w:id="928"/>
    </w:p>
    <w:p w14:paraId="36080309" w14:textId="12FECB6A" w:rsidR="003824AD" w:rsidRDefault="00876E82" w:rsidP="00122F2F">
      <w:r w:rsidRPr="00876E82">
        <w:t xml:space="preserve">Al segundo trimestre del año, los pasivos financieros se incrementaron en Q4,932.3 millones, siendo los títulos de deuda los instrumentos que han tenido un mayor incremento </w:t>
      </w:r>
      <w:r w:rsidR="00BE6DB2">
        <w:t>durante el año por</w:t>
      </w:r>
      <w:r w:rsidRPr="00876E82">
        <w:t xml:space="preserve"> Q5,822.8 millones</w:t>
      </w:r>
      <w:r w:rsidR="00BE6DB2">
        <w:t xml:space="preserve"> mientras que</w:t>
      </w:r>
      <w:r w:rsidRPr="00876E82">
        <w:t xml:space="preserve"> los préstamos</w:t>
      </w:r>
      <w:r w:rsidR="00BE6DB2">
        <w:t xml:space="preserve"> </w:t>
      </w:r>
      <w:r w:rsidR="0099770C">
        <w:t>tuvieron una reducción (amortización)</w:t>
      </w:r>
      <w:r w:rsidRPr="00876E82">
        <w:t xml:space="preserve"> por valor de Q850.4 millones</w:t>
      </w:r>
      <w:r w:rsidR="0099770C">
        <w:t xml:space="preserve"> y las </w:t>
      </w:r>
      <w:r w:rsidRPr="00876E82">
        <w:t>cuentas por pagar se redujeron en Q40.0 millones.</w:t>
      </w:r>
      <w:r w:rsidR="005D4344">
        <w:t xml:space="preserve"> Es oportuno mencionar que </w:t>
      </w:r>
      <w:r w:rsidR="00D91D50">
        <w:t xml:space="preserve">a principios del mes de junio hubo una colocación de Eurobonos por US$1,000 </w:t>
      </w:r>
      <w:r w:rsidR="00D91D50" w:rsidRPr="00252A0E">
        <w:t xml:space="preserve">millones </w:t>
      </w:r>
      <w:r w:rsidR="004043BA" w:rsidRPr="00252A0E">
        <w:t>(</w:t>
      </w:r>
      <w:r w:rsidR="004043BA" w:rsidRPr="00252A0E">
        <w:rPr>
          <w:rFonts w:cs="Times New Roman"/>
        </w:rPr>
        <w:t>Q7,833.2 millones)</w:t>
      </w:r>
      <w:r w:rsidR="0033201C" w:rsidRPr="00252A0E">
        <w:rPr>
          <w:rFonts w:cs="Times New Roman"/>
        </w:rPr>
        <w:t xml:space="preserve"> a un</w:t>
      </w:r>
      <w:r w:rsidR="0033201C">
        <w:rPr>
          <w:rFonts w:cs="Times New Roman"/>
        </w:rPr>
        <w:t xml:space="preserve"> plazo de 12 años (con vencimiento en el 2035) y una tasa de cupón de 6.60%</w:t>
      </w:r>
      <w:r w:rsidR="00861B28">
        <w:rPr>
          <w:rFonts w:cs="Times New Roman"/>
        </w:rPr>
        <w:t>.</w:t>
      </w:r>
    </w:p>
    <w:tbl>
      <w:tblPr>
        <w:tblStyle w:val="Tablaconcuadrcula"/>
        <w:tblW w:w="94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54"/>
        <w:gridCol w:w="3750"/>
      </w:tblGrid>
      <w:tr w:rsidR="0061446B" w:rsidRPr="00FC4688" w14:paraId="170F85A0" w14:textId="77777777" w:rsidTr="009C7D1A">
        <w:trPr>
          <w:trHeight w:val="3"/>
          <w:jc w:val="center"/>
        </w:trPr>
        <w:tc>
          <w:tcPr>
            <w:tcW w:w="9404" w:type="dxa"/>
            <w:gridSpan w:val="2"/>
          </w:tcPr>
          <w:p w14:paraId="53CD2781" w14:textId="2614FDB5" w:rsidR="0061446B" w:rsidRPr="00FC4688" w:rsidRDefault="0061446B" w:rsidP="00E34A48">
            <w:pPr>
              <w:jc w:val="center"/>
              <w:rPr>
                <w:b/>
                <w:bCs/>
              </w:rPr>
            </w:pPr>
            <w:r w:rsidRPr="00FC4688">
              <w:rPr>
                <w:b/>
                <w:bCs/>
              </w:rPr>
              <w:t>Incurrimiento neto de pasivos</w:t>
            </w:r>
            <w:r w:rsidR="009D176B" w:rsidRPr="00FC4688">
              <w:rPr>
                <w:b/>
                <w:bCs/>
              </w:rPr>
              <w:t xml:space="preserve"> </w:t>
            </w:r>
            <w:r w:rsidR="00B435E7" w:rsidRPr="00FC4688">
              <w:rPr>
                <w:b/>
                <w:bCs/>
              </w:rPr>
              <w:t>a</w:t>
            </w:r>
            <w:r w:rsidR="00BD5430">
              <w:rPr>
                <w:b/>
                <w:bCs/>
              </w:rPr>
              <w:t xml:space="preserve"> junio</w:t>
            </w:r>
            <w:r w:rsidR="00B435E7" w:rsidRPr="00FC4688">
              <w:rPr>
                <w:b/>
                <w:bCs/>
              </w:rPr>
              <w:t xml:space="preserve"> de </w:t>
            </w:r>
            <w:r w:rsidR="009D176B" w:rsidRPr="00FC4688">
              <w:rPr>
                <w:b/>
                <w:bCs/>
              </w:rPr>
              <w:t>202</w:t>
            </w:r>
            <w:r w:rsidR="00AF4004">
              <w:rPr>
                <w:b/>
                <w:bCs/>
              </w:rPr>
              <w:t>3</w:t>
            </w:r>
            <w:r w:rsidR="009D176B" w:rsidRPr="00FC4688">
              <w:rPr>
                <w:b/>
                <w:bCs/>
              </w:rPr>
              <w:t>*</w:t>
            </w:r>
          </w:p>
          <w:p w14:paraId="0071567C" w14:textId="028E652F" w:rsidR="0061446B" w:rsidRPr="00FC4688" w:rsidRDefault="0061446B" w:rsidP="00E34A48">
            <w:pPr>
              <w:jc w:val="center"/>
            </w:pPr>
            <w:r w:rsidRPr="00FC4688">
              <w:rPr>
                <w:sz w:val="20"/>
                <w:szCs w:val="22"/>
              </w:rPr>
              <w:t xml:space="preserve">En </w:t>
            </w:r>
            <w:r w:rsidR="006535F3" w:rsidRPr="00FC4688">
              <w:rPr>
                <w:sz w:val="20"/>
                <w:szCs w:val="22"/>
              </w:rPr>
              <w:t>millones</w:t>
            </w:r>
            <w:r w:rsidRPr="00FC4688">
              <w:rPr>
                <w:sz w:val="20"/>
                <w:szCs w:val="22"/>
              </w:rPr>
              <w:t xml:space="preserve"> de Quetzales</w:t>
            </w:r>
          </w:p>
        </w:tc>
      </w:tr>
      <w:tr w:rsidR="00D36792" w:rsidRPr="00FC4688" w14:paraId="2690E1D3" w14:textId="77777777" w:rsidTr="009C7D1A">
        <w:trPr>
          <w:trHeight w:val="65"/>
          <w:jc w:val="center"/>
        </w:trPr>
        <w:tc>
          <w:tcPr>
            <w:tcW w:w="5654" w:type="dxa"/>
            <w:tcBorders>
              <w:right w:val="single" w:sz="4" w:space="0" w:color="auto"/>
            </w:tcBorders>
            <w:shd w:val="clear" w:color="auto" w:fill="auto"/>
          </w:tcPr>
          <w:p w14:paraId="38032EE6" w14:textId="06B5595E" w:rsidR="00F674B9" w:rsidRPr="00FC4688" w:rsidRDefault="00AA1560" w:rsidP="00E34A48">
            <w:r w:rsidRPr="00AC1506">
              <w:rPr>
                <w:noProof/>
                <w:lang w:eastAsia="es-GT"/>
              </w:rPr>
              <w:drawing>
                <wp:anchor distT="0" distB="0" distL="114300" distR="114300" simplePos="0" relativeHeight="251673604" behindDoc="0" locked="0" layoutInCell="1" allowOverlap="1" wp14:anchorId="56CDCC02" wp14:editId="532EBCDC">
                  <wp:simplePos x="0" y="0"/>
                  <wp:positionH relativeFrom="column">
                    <wp:posOffset>-67310</wp:posOffset>
                  </wp:positionH>
                  <wp:positionV relativeFrom="paragraph">
                    <wp:posOffset>164465</wp:posOffset>
                  </wp:positionV>
                  <wp:extent cx="3365500" cy="1949450"/>
                  <wp:effectExtent l="0" t="0" r="6350" b="12700"/>
                  <wp:wrapSquare wrapText="bothSides"/>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tc>
        <w:tc>
          <w:tcPr>
            <w:tcW w:w="3750" w:type="dxa"/>
            <w:tcBorders>
              <w:left w:val="single" w:sz="4" w:space="0" w:color="auto"/>
            </w:tcBorders>
          </w:tcPr>
          <w:p w14:paraId="6D2B05F8" w14:textId="4714FFEE" w:rsidR="00F674B9" w:rsidRPr="00FC4688" w:rsidRDefault="002E6D39" w:rsidP="00814951">
            <w:pPr>
              <w:ind w:right="-183"/>
            </w:pPr>
            <w:r>
              <w:rPr>
                <w:noProof/>
              </w:rPr>
              <w:drawing>
                <wp:inline distT="0" distB="0" distL="0" distR="0" wp14:anchorId="0BAB279A" wp14:editId="13B4BB8E">
                  <wp:extent cx="2241550" cy="1822450"/>
                  <wp:effectExtent l="0" t="0" r="6350" b="6350"/>
                  <wp:docPr id="169087780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AA1560" w:rsidRPr="00FC4688" w14:paraId="3FC960A0" w14:textId="77777777" w:rsidTr="009C7D1A">
        <w:trPr>
          <w:trHeight w:val="65"/>
          <w:jc w:val="center"/>
        </w:trPr>
        <w:tc>
          <w:tcPr>
            <w:tcW w:w="5654" w:type="dxa"/>
            <w:tcBorders>
              <w:right w:val="single" w:sz="4" w:space="0" w:color="auto"/>
            </w:tcBorders>
            <w:shd w:val="clear" w:color="auto" w:fill="auto"/>
          </w:tcPr>
          <w:p w14:paraId="124F9854" w14:textId="77777777" w:rsidR="00AA1560" w:rsidRPr="00AC1506" w:rsidRDefault="00AA1560" w:rsidP="00E34A48">
            <w:pPr>
              <w:rPr>
                <w:noProof/>
                <w:lang w:eastAsia="es-GT"/>
              </w:rPr>
            </w:pPr>
          </w:p>
        </w:tc>
        <w:tc>
          <w:tcPr>
            <w:tcW w:w="3750" w:type="dxa"/>
            <w:tcBorders>
              <w:left w:val="single" w:sz="4" w:space="0" w:color="auto"/>
            </w:tcBorders>
          </w:tcPr>
          <w:p w14:paraId="12938105" w14:textId="77777777" w:rsidR="00AA1560" w:rsidRDefault="00AA1560" w:rsidP="00814951">
            <w:pPr>
              <w:ind w:right="-183"/>
              <w:rPr>
                <w:noProof/>
              </w:rPr>
            </w:pPr>
          </w:p>
        </w:tc>
      </w:tr>
    </w:tbl>
    <w:p w14:paraId="1F341054" w14:textId="2EA0C79E" w:rsidR="00F4077C" w:rsidRPr="00FC4688" w:rsidRDefault="00F4077C" w:rsidP="00C34A03">
      <w:pPr>
        <w:pStyle w:val="Prrafodelista"/>
        <w:numPr>
          <w:ilvl w:val="0"/>
          <w:numId w:val="1"/>
        </w:numPr>
        <w:ind w:left="426" w:hanging="426"/>
        <w:outlineLvl w:val="0"/>
        <w:rPr>
          <w:rFonts w:eastAsiaTheme="majorEastAsia" w:cs="Times New Roman"/>
          <w:b/>
          <w:bCs/>
          <w:sz w:val="24"/>
          <w:szCs w:val="26"/>
          <w:lang w:val="es-ES_tradnl" w:eastAsia="es-ES"/>
        </w:rPr>
      </w:pPr>
      <w:bookmarkStart w:id="929" w:name="_Toc42023970"/>
      <w:bookmarkStart w:id="930" w:name="_Toc42024021"/>
      <w:bookmarkStart w:id="931" w:name="_Toc42023971"/>
      <w:bookmarkStart w:id="932" w:name="_Toc42024022"/>
      <w:bookmarkStart w:id="933" w:name="_Toc42023972"/>
      <w:bookmarkStart w:id="934" w:name="_Toc42024023"/>
      <w:bookmarkStart w:id="935" w:name="_Toc42023973"/>
      <w:bookmarkStart w:id="936" w:name="_Toc42024024"/>
      <w:bookmarkStart w:id="937" w:name="_Toc141430936"/>
      <w:bookmarkEnd w:id="929"/>
      <w:bookmarkEnd w:id="930"/>
      <w:bookmarkEnd w:id="931"/>
      <w:bookmarkEnd w:id="932"/>
      <w:bookmarkEnd w:id="933"/>
      <w:bookmarkEnd w:id="934"/>
      <w:bookmarkEnd w:id="935"/>
      <w:bookmarkEnd w:id="936"/>
      <w:r w:rsidRPr="00FC4688">
        <w:rPr>
          <w:rFonts w:eastAsiaTheme="majorEastAsia" w:cs="Times New Roman"/>
          <w:b/>
          <w:bCs/>
          <w:sz w:val="24"/>
          <w:szCs w:val="26"/>
          <w:lang w:val="es-ES_tradnl" w:eastAsia="es-ES"/>
        </w:rPr>
        <w:t>Erogaciones</w:t>
      </w:r>
      <w:r w:rsidR="00B50E45" w:rsidRPr="00FC4688">
        <w:rPr>
          <w:rFonts w:eastAsiaTheme="majorEastAsia" w:cs="Times New Roman"/>
          <w:b/>
          <w:bCs/>
          <w:sz w:val="24"/>
          <w:szCs w:val="26"/>
          <w:lang w:val="es-ES_tradnl" w:eastAsia="es-ES"/>
        </w:rPr>
        <w:t xml:space="preserve"> del Gobierno Central Presupuestario</w:t>
      </w:r>
      <w:bookmarkEnd w:id="937"/>
    </w:p>
    <w:p w14:paraId="2B633498" w14:textId="77777777" w:rsidR="007A76CD" w:rsidRPr="00FC4688" w:rsidRDefault="007A76CD" w:rsidP="00594050">
      <w:pPr>
        <w:rPr>
          <w:rFonts w:cs="Times New Roman"/>
        </w:rPr>
      </w:pPr>
      <w:r w:rsidRPr="00FC4688">
        <w:rPr>
          <w:rFonts w:eastAsiaTheme="majorEastAsia"/>
          <w:noProof/>
          <w:lang w:eastAsia="es-GT"/>
        </w:rPr>
        <w:drawing>
          <wp:inline distT="0" distB="0" distL="0" distR="0" wp14:anchorId="77325B34" wp14:editId="59961A01">
            <wp:extent cx="5836920" cy="876300"/>
            <wp:effectExtent l="76200" t="38100" r="87630" b="11430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17E5690A" w14:textId="77777777" w:rsidR="000F19C1" w:rsidRPr="00FC4688"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938" w:name="_Toc42023975"/>
      <w:bookmarkStart w:id="939" w:name="_Toc42024026"/>
      <w:bookmarkStart w:id="940" w:name="_Toc42069116"/>
      <w:bookmarkStart w:id="941" w:name="_Toc49422062"/>
      <w:bookmarkStart w:id="942" w:name="_Toc49422088"/>
      <w:bookmarkStart w:id="943" w:name="_Toc49430667"/>
      <w:bookmarkStart w:id="944" w:name="_Toc49430693"/>
      <w:bookmarkStart w:id="945" w:name="_Toc49750470"/>
      <w:bookmarkStart w:id="946" w:name="_Toc49750720"/>
      <w:bookmarkStart w:id="947" w:name="_Toc49750748"/>
      <w:bookmarkStart w:id="948" w:name="_Toc55284834"/>
      <w:bookmarkStart w:id="949" w:name="_Toc55298852"/>
      <w:bookmarkStart w:id="950" w:name="_Toc55373835"/>
      <w:bookmarkStart w:id="951" w:name="_Toc55374009"/>
      <w:bookmarkStart w:id="952" w:name="_Toc55375146"/>
      <w:bookmarkStart w:id="953" w:name="_Toc55396554"/>
      <w:bookmarkStart w:id="954" w:name="_Toc65230551"/>
      <w:bookmarkStart w:id="955" w:name="_Toc65230789"/>
      <w:bookmarkStart w:id="956" w:name="_Toc65232073"/>
      <w:bookmarkStart w:id="957" w:name="_Toc65232318"/>
      <w:bookmarkStart w:id="958" w:name="_Toc66716177"/>
      <w:bookmarkStart w:id="959" w:name="_Toc71097221"/>
      <w:bookmarkStart w:id="960" w:name="_Toc71097252"/>
      <w:bookmarkStart w:id="961" w:name="_Toc71097327"/>
      <w:bookmarkStart w:id="962" w:name="_Toc71108067"/>
      <w:bookmarkStart w:id="963" w:name="_Toc79055261"/>
      <w:bookmarkStart w:id="964" w:name="_Toc79055292"/>
      <w:bookmarkStart w:id="965" w:name="_Toc79060183"/>
      <w:bookmarkStart w:id="966" w:name="_Toc79060470"/>
      <w:bookmarkStart w:id="967" w:name="_Toc81307827"/>
      <w:bookmarkStart w:id="968" w:name="_Toc83376488"/>
      <w:bookmarkStart w:id="969" w:name="_Toc86386727"/>
      <w:bookmarkStart w:id="970" w:name="_Toc86405413"/>
      <w:bookmarkStart w:id="971" w:name="_Toc98162443"/>
      <w:bookmarkStart w:id="972" w:name="_Toc98162475"/>
      <w:bookmarkStart w:id="973" w:name="_Toc98235001"/>
      <w:bookmarkStart w:id="974" w:name="_Toc98235196"/>
      <w:bookmarkStart w:id="975" w:name="_Toc98235281"/>
      <w:bookmarkStart w:id="976" w:name="_Toc98757151"/>
      <w:bookmarkStart w:id="977" w:name="_Toc101874706"/>
      <w:bookmarkStart w:id="978" w:name="_Toc101954162"/>
      <w:bookmarkStart w:id="979" w:name="_Toc101971979"/>
      <w:bookmarkStart w:id="980" w:name="_Toc101974071"/>
      <w:bookmarkStart w:id="981" w:name="_Toc102039756"/>
      <w:bookmarkStart w:id="982" w:name="_Toc102039794"/>
      <w:bookmarkStart w:id="983" w:name="_Toc102039834"/>
      <w:bookmarkStart w:id="984" w:name="_Toc102039865"/>
      <w:bookmarkStart w:id="985" w:name="_Toc102040923"/>
      <w:bookmarkStart w:id="986" w:name="_Toc102477771"/>
      <w:bookmarkStart w:id="987" w:name="_Toc102477802"/>
      <w:bookmarkStart w:id="988" w:name="_Toc109824832"/>
      <w:bookmarkStart w:id="989" w:name="_Toc109828788"/>
      <w:bookmarkStart w:id="990" w:name="_Toc109828851"/>
      <w:bookmarkStart w:id="991" w:name="_Toc109829027"/>
      <w:bookmarkStart w:id="992" w:name="_Toc109829058"/>
      <w:bookmarkStart w:id="993" w:name="_Toc109833902"/>
      <w:bookmarkStart w:id="994" w:name="_Toc110237445"/>
      <w:bookmarkStart w:id="995" w:name="_Toc117775322"/>
      <w:bookmarkStart w:id="996" w:name="_Toc117781291"/>
      <w:bookmarkStart w:id="997" w:name="_Toc125620819"/>
      <w:bookmarkStart w:id="998" w:name="_Toc125620850"/>
      <w:bookmarkStart w:id="999" w:name="_Toc125620881"/>
      <w:bookmarkStart w:id="1000" w:name="_Toc125620917"/>
      <w:bookmarkStart w:id="1001" w:name="_Toc125620948"/>
      <w:bookmarkStart w:id="1002" w:name="_Toc125620982"/>
      <w:bookmarkStart w:id="1003" w:name="_Toc125621035"/>
      <w:bookmarkStart w:id="1004" w:name="_Toc125621089"/>
      <w:bookmarkStart w:id="1005" w:name="_Toc125623567"/>
      <w:bookmarkStart w:id="1006" w:name="_Toc125623599"/>
      <w:bookmarkStart w:id="1007" w:name="_Toc125623631"/>
      <w:bookmarkStart w:id="1008" w:name="_Toc125970377"/>
      <w:bookmarkStart w:id="1009" w:name="_Toc125970409"/>
      <w:bookmarkStart w:id="1010" w:name="_Toc127365860"/>
      <w:bookmarkStart w:id="1011" w:name="_Toc127434611"/>
      <w:bookmarkStart w:id="1012" w:name="_Toc127436979"/>
      <w:bookmarkStart w:id="1013" w:name="_Toc127437340"/>
      <w:bookmarkStart w:id="1014" w:name="_Toc127437695"/>
      <w:bookmarkStart w:id="1015" w:name="_Toc133492789"/>
      <w:bookmarkStart w:id="1016" w:name="_Toc133492986"/>
      <w:bookmarkStart w:id="1017" w:name="_Toc133493208"/>
      <w:bookmarkStart w:id="1018" w:name="_Toc133497842"/>
      <w:bookmarkStart w:id="1019" w:name="_Toc133505562"/>
      <w:bookmarkStart w:id="1020" w:name="_Toc133576140"/>
      <w:bookmarkStart w:id="1021" w:name="_Toc133576212"/>
      <w:bookmarkStart w:id="1022" w:name="_Toc133576245"/>
      <w:bookmarkStart w:id="1023" w:name="_Toc133576277"/>
      <w:bookmarkStart w:id="1024" w:name="_Toc133576309"/>
      <w:bookmarkStart w:id="1025" w:name="_Toc133576341"/>
      <w:bookmarkStart w:id="1026" w:name="_Toc133576394"/>
      <w:bookmarkStart w:id="1027" w:name="_Toc133576428"/>
      <w:bookmarkStart w:id="1028" w:name="_Toc133576461"/>
      <w:bookmarkStart w:id="1029" w:name="_Toc133576494"/>
      <w:bookmarkStart w:id="1030" w:name="_Toc141108753"/>
      <w:bookmarkStart w:id="1031" w:name="_Toc141172994"/>
      <w:bookmarkStart w:id="1032" w:name="_Toc141277691"/>
      <w:bookmarkStart w:id="1033" w:name="_Toc141277723"/>
      <w:bookmarkStart w:id="1034" w:name="_Toc141430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56FB527D" w14:textId="77777777" w:rsidR="000F19C1" w:rsidRPr="00FC4688"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1035" w:name="_Toc55374010"/>
      <w:bookmarkStart w:id="1036" w:name="_Toc55375147"/>
      <w:bookmarkStart w:id="1037" w:name="_Toc55396555"/>
      <w:bookmarkStart w:id="1038" w:name="_Toc65230552"/>
      <w:bookmarkStart w:id="1039" w:name="_Toc65230790"/>
      <w:bookmarkStart w:id="1040" w:name="_Toc65232074"/>
      <w:bookmarkStart w:id="1041" w:name="_Toc65232319"/>
      <w:bookmarkStart w:id="1042" w:name="_Toc66716178"/>
      <w:bookmarkStart w:id="1043" w:name="_Toc71097222"/>
      <w:bookmarkStart w:id="1044" w:name="_Toc71097253"/>
      <w:bookmarkStart w:id="1045" w:name="_Toc71097328"/>
      <w:bookmarkStart w:id="1046" w:name="_Toc71108068"/>
      <w:bookmarkStart w:id="1047" w:name="_Toc79055262"/>
      <w:bookmarkStart w:id="1048" w:name="_Toc79055293"/>
      <w:bookmarkStart w:id="1049" w:name="_Toc79060184"/>
      <w:bookmarkStart w:id="1050" w:name="_Toc79060471"/>
      <w:bookmarkStart w:id="1051" w:name="_Toc81307828"/>
      <w:bookmarkStart w:id="1052" w:name="_Toc83376489"/>
      <w:bookmarkStart w:id="1053" w:name="_Toc86386728"/>
      <w:bookmarkStart w:id="1054" w:name="_Toc86405414"/>
      <w:bookmarkStart w:id="1055" w:name="_Toc98162444"/>
      <w:bookmarkStart w:id="1056" w:name="_Toc98162476"/>
      <w:bookmarkStart w:id="1057" w:name="_Toc98235002"/>
      <w:bookmarkStart w:id="1058" w:name="_Toc98235197"/>
      <w:bookmarkStart w:id="1059" w:name="_Toc98235282"/>
      <w:bookmarkStart w:id="1060" w:name="_Toc98757152"/>
      <w:bookmarkStart w:id="1061" w:name="_Toc101874707"/>
      <w:bookmarkStart w:id="1062" w:name="_Toc101954163"/>
      <w:bookmarkStart w:id="1063" w:name="_Toc101971980"/>
      <w:bookmarkStart w:id="1064" w:name="_Toc101974072"/>
      <w:bookmarkStart w:id="1065" w:name="_Toc102039757"/>
      <w:bookmarkStart w:id="1066" w:name="_Toc102039795"/>
      <w:bookmarkStart w:id="1067" w:name="_Toc102039835"/>
      <w:bookmarkStart w:id="1068" w:name="_Toc102039866"/>
      <w:bookmarkStart w:id="1069" w:name="_Toc102040924"/>
      <w:bookmarkStart w:id="1070" w:name="_Toc102477772"/>
      <w:bookmarkStart w:id="1071" w:name="_Toc102477803"/>
      <w:bookmarkStart w:id="1072" w:name="_Toc109824833"/>
      <w:bookmarkStart w:id="1073" w:name="_Toc109828789"/>
      <w:bookmarkStart w:id="1074" w:name="_Toc109828852"/>
      <w:bookmarkStart w:id="1075" w:name="_Toc109829028"/>
      <w:bookmarkStart w:id="1076" w:name="_Toc109829059"/>
      <w:bookmarkStart w:id="1077" w:name="_Toc109833903"/>
      <w:bookmarkStart w:id="1078" w:name="_Toc110237446"/>
      <w:bookmarkStart w:id="1079" w:name="_Toc117775323"/>
      <w:bookmarkStart w:id="1080" w:name="_Toc117781292"/>
      <w:bookmarkStart w:id="1081" w:name="_Toc125620820"/>
      <w:bookmarkStart w:id="1082" w:name="_Toc125620851"/>
      <w:bookmarkStart w:id="1083" w:name="_Toc125620882"/>
      <w:bookmarkStart w:id="1084" w:name="_Toc125620918"/>
      <w:bookmarkStart w:id="1085" w:name="_Toc125620949"/>
      <w:bookmarkStart w:id="1086" w:name="_Toc125620983"/>
      <w:bookmarkStart w:id="1087" w:name="_Toc125621036"/>
      <w:bookmarkStart w:id="1088" w:name="_Toc125621090"/>
      <w:bookmarkStart w:id="1089" w:name="_Toc125623568"/>
      <w:bookmarkStart w:id="1090" w:name="_Toc125623600"/>
      <w:bookmarkStart w:id="1091" w:name="_Toc125623632"/>
      <w:bookmarkStart w:id="1092" w:name="_Toc125970378"/>
      <w:bookmarkStart w:id="1093" w:name="_Toc125970410"/>
      <w:bookmarkStart w:id="1094" w:name="_Toc127365861"/>
      <w:bookmarkStart w:id="1095" w:name="_Toc127434612"/>
      <w:bookmarkStart w:id="1096" w:name="_Toc127436980"/>
      <w:bookmarkStart w:id="1097" w:name="_Toc127437341"/>
      <w:bookmarkStart w:id="1098" w:name="_Toc127437696"/>
      <w:bookmarkStart w:id="1099" w:name="_Toc133492790"/>
      <w:bookmarkStart w:id="1100" w:name="_Toc133492987"/>
      <w:bookmarkStart w:id="1101" w:name="_Toc133493209"/>
      <w:bookmarkStart w:id="1102" w:name="_Toc133497843"/>
      <w:bookmarkStart w:id="1103" w:name="_Toc133505563"/>
      <w:bookmarkStart w:id="1104" w:name="_Toc133576141"/>
      <w:bookmarkStart w:id="1105" w:name="_Toc133576213"/>
      <w:bookmarkStart w:id="1106" w:name="_Toc133576246"/>
      <w:bookmarkStart w:id="1107" w:name="_Toc133576278"/>
      <w:bookmarkStart w:id="1108" w:name="_Toc133576310"/>
      <w:bookmarkStart w:id="1109" w:name="_Toc133576342"/>
      <w:bookmarkStart w:id="1110" w:name="_Toc133576395"/>
      <w:bookmarkStart w:id="1111" w:name="_Toc133576429"/>
      <w:bookmarkStart w:id="1112" w:name="_Toc133576462"/>
      <w:bookmarkStart w:id="1113" w:name="_Toc133576495"/>
      <w:bookmarkStart w:id="1114" w:name="_Toc141108754"/>
      <w:bookmarkStart w:id="1115" w:name="_Toc141172995"/>
      <w:bookmarkStart w:id="1116" w:name="_Toc141277692"/>
      <w:bookmarkStart w:id="1117" w:name="_Toc141277724"/>
      <w:bookmarkStart w:id="1118" w:name="_Toc141430938"/>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14:paraId="0298658C" w14:textId="77777777" w:rsidR="000F19C1" w:rsidRPr="00FC4688"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1119" w:name="_Toc55374011"/>
      <w:bookmarkStart w:id="1120" w:name="_Toc55375148"/>
      <w:bookmarkStart w:id="1121" w:name="_Toc55396556"/>
      <w:bookmarkStart w:id="1122" w:name="_Toc65230553"/>
      <w:bookmarkStart w:id="1123" w:name="_Toc65230791"/>
      <w:bookmarkStart w:id="1124" w:name="_Toc65232075"/>
      <w:bookmarkStart w:id="1125" w:name="_Toc65232320"/>
      <w:bookmarkStart w:id="1126" w:name="_Toc66716179"/>
      <w:bookmarkStart w:id="1127" w:name="_Toc71097223"/>
      <w:bookmarkStart w:id="1128" w:name="_Toc71097254"/>
      <w:bookmarkStart w:id="1129" w:name="_Toc71097329"/>
      <w:bookmarkStart w:id="1130" w:name="_Toc71108069"/>
      <w:bookmarkStart w:id="1131" w:name="_Toc79055263"/>
      <w:bookmarkStart w:id="1132" w:name="_Toc79055294"/>
      <w:bookmarkStart w:id="1133" w:name="_Toc79060185"/>
      <w:bookmarkStart w:id="1134" w:name="_Toc79060472"/>
      <w:bookmarkStart w:id="1135" w:name="_Toc81307829"/>
      <w:bookmarkStart w:id="1136" w:name="_Toc83376490"/>
      <w:bookmarkStart w:id="1137" w:name="_Toc86386729"/>
      <w:bookmarkStart w:id="1138" w:name="_Toc86405415"/>
      <w:bookmarkStart w:id="1139" w:name="_Toc98162445"/>
      <w:bookmarkStart w:id="1140" w:name="_Toc98162477"/>
      <w:bookmarkStart w:id="1141" w:name="_Toc98235003"/>
      <w:bookmarkStart w:id="1142" w:name="_Toc98235198"/>
      <w:bookmarkStart w:id="1143" w:name="_Toc98235283"/>
      <w:bookmarkStart w:id="1144" w:name="_Toc98757153"/>
      <w:bookmarkStart w:id="1145" w:name="_Toc101874708"/>
      <w:bookmarkStart w:id="1146" w:name="_Toc101954164"/>
      <w:bookmarkStart w:id="1147" w:name="_Toc101971981"/>
      <w:bookmarkStart w:id="1148" w:name="_Toc101974073"/>
      <w:bookmarkStart w:id="1149" w:name="_Toc102039758"/>
      <w:bookmarkStart w:id="1150" w:name="_Toc102039796"/>
      <w:bookmarkStart w:id="1151" w:name="_Toc102039836"/>
      <w:bookmarkStart w:id="1152" w:name="_Toc102039867"/>
      <w:bookmarkStart w:id="1153" w:name="_Toc102040925"/>
      <w:bookmarkStart w:id="1154" w:name="_Toc102477773"/>
      <w:bookmarkStart w:id="1155" w:name="_Toc102477804"/>
      <w:bookmarkStart w:id="1156" w:name="_Toc109824834"/>
      <w:bookmarkStart w:id="1157" w:name="_Toc109828790"/>
      <w:bookmarkStart w:id="1158" w:name="_Toc109828853"/>
      <w:bookmarkStart w:id="1159" w:name="_Toc109829029"/>
      <w:bookmarkStart w:id="1160" w:name="_Toc109829060"/>
      <w:bookmarkStart w:id="1161" w:name="_Toc109833904"/>
      <w:bookmarkStart w:id="1162" w:name="_Toc110237447"/>
      <w:bookmarkStart w:id="1163" w:name="_Toc117775324"/>
      <w:bookmarkStart w:id="1164" w:name="_Toc117781293"/>
      <w:bookmarkStart w:id="1165" w:name="_Toc125620821"/>
      <w:bookmarkStart w:id="1166" w:name="_Toc125620852"/>
      <w:bookmarkStart w:id="1167" w:name="_Toc125620883"/>
      <w:bookmarkStart w:id="1168" w:name="_Toc125620919"/>
      <w:bookmarkStart w:id="1169" w:name="_Toc125620950"/>
      <w:bookmarkStart w:id="1170" w:name="_Toc125620984"/>
      <w:bookmarkStart w:id="1171" w:name="_Toc125621037"/>
      <w:bookmarkStart w:id="1172" w:name="_Toc125621091"/>
      <w:bookmarkStart w:id="1173" w:name="_Toc125623569"/>
      <w:bookmarkStart w:id="1174" w:name="_Toc125623601"/>
      <w:bookmarkStart w:id="1175" w:name="_Toc125623633"/>
      <w:bookmarkStart w:id="1176" w:name="_Toc125970379"/>
      <w:bookmarkStart w:id="1177" w:name="_Toc125970411"/>
      <w:bookmarkStart w:id="1178" w:name="_Toc127365862"/>
      <w:bookmarkStart w:id="1179" w:name="_Toc127434613"/>
      <w:bookmarkStart w:id="1180" w:name="_Toc127436981"/>
      <w:bookmarkStart w:id="1181" w:name="_Toc127437342"/>
      <w:bookmarkStart w:id="1182" w:name="_Toc127437697"/>
      <w:bookmarkStart w:id="1183" w:name="_Toc133492791"/>
      <w:bookmarkStart w:id="1184" w:name="_Toc133492988"/>
      <w:bookmarkStart w:id="1185" w:name="_Toc133493210"/>
      <w:bookmarkStart w:id="1186" w:name="_Toc133497844"/>
      <w:bookmarkStart w:id="1187" w:name="_Toc133505564"/>
      <w:bookmarkStart w:id="1188" w:name="_Toc133576142"/>
      <w:bookmarkStart w:id="1189" w:name="_Toc133576214"/>
      <w:bookmarkStart w:id="1190" w:name="_Toc133576247"/>
      <w:bookmarkStart w:id="1191" w:name="_Toc133576279"/>
      <w:bookmarkStart w:id="1192" w:name="_Toc133576311"/>
      <w:bookmarkStart w:id="1193" w:name="_Toc133576343"/>
      <w:bookmarkStart w:id="1194" w:name="_Toc133576396"/>
      <w:bookmarkStart w:id="1195" w:name="_Toc133576430"/>
      <w:bookmarkStart w:id="1196" w:name="_Toc133576463"/>
      <w:bookmarkStart w:id="1197" w:name="_Toc133576496"/>
      <w:bookmarkStart w:id="1198" w:name="_Toc141108755"/>
      <w:bookmarkStart w:id="1199" w:name="_Toc141172996"/>
      <w:bookmarkStart w:id="1200" w:name="_Toc141277693"/>
      <w:bookmarkStart w:id="1201" w:name="_Toc141277725"/>
      <w:bookmarkStart w:id="1202" w:name="_Toc141430939"/>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14:paraId="2B7C610F" w14:textId="77777777" w:rsidR="000F19C1" w:rsidRPr="00FC4688"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1203" w:name="_Toc55374012"/>
      <w:bookmarkStart w:id="1204" w:name="_Toc55375149"/>
      <w:bookmarkStart w:id="1205" w:name="_Toc55396557"/>
      <w:bookmarkStart w:id="1206" w:name="_Toc65230554"/>
      <w:bookmarkStart w:id="1207" w:name="_Toc65230792"/>
      <w:bookmarkStart w:id="1208" w:name="_Toc65232076"/>
      <w:bookmarkStart w:id="1209" w:name="_Toc65232321"/>
      <w:bookmarkStart w:id="1210" w:name="_Toc66716180"/>
      <w:bookmarkStart w:id="1211" w:name="_Toc71097224"/>
      <w:bookmarkStart w:id="1212" w:name="_Toc71097255"/>
      <w:bookmarkStart w:id="1213" w:name="_Toc71097330"/>
      <w:bookmarkStart w:id="1214" w:name="_Toc71108070"/>
      <w:bookmarkStart w:id="1215" w:name="_Toc79055264"/>
      <w:bookmarkStart w:id="1216" w:name="_Toc79055295"/>
      <w:bookmarkStart w:id="1217" w:name="_Toc79060186"/>
      <w:bookmarkStart w:id="1218" w:name="_Toc79060473"/>
      <w:bookmarkStart w:id="1219" w:name="_Toc81307830"/>
      <w:bookmarkStart w:id="1220" w:name="_Toc83376491"/>
      <w:bookmarkStart w:id="1221" w:name="_Toc86386730"/>
      <w:bookmarkStart w:id="1222" w:name="_Toc86405416"/>
      <w:bookmarkStart w:id="1223" w:name="_Toc98162446"/>
      <w:bookmarkStart w:id="1224" w:name="_Toc98162478"/>
      <w:bookmarkStart w:id="1225" w:name="_Toc98235004"/>
      <w:bookmarkStart w:id="1226" w:name="_Toc98235199"/>
      <w:bookmarkStart w:id="1227" w:name="_Toc98235284"/>
      <w:bookmarkStart w:id="1228" w:name="_Toc98757154"/>
      <w:bookmarkStart w:id="1229" w:name="_Toc101874709"/>
      <w:bookmarkStart w:id="1230" w:name="_Toc101954165"/>
      <w:bookmarkStart w:id="1231" w:name="_Toc101971982"/>
      <w:bookmarkStart w:id="1232" w:name="_Toc101974074"/>
      <w:bookmarkStart w:id="1233" w:name="_Toc102039759"/>
      <w:bookmarkStart w:id="1234" w:name="_Toc102039797"/>
      <w:bookmarkStart w:id="1235" w:name="_Toc102039837"/>
      <w:bookmarkStart w:id="1236" w:name="_Toc102039868"/>
      <w:bookmarkStart w:id="1237" w:name="_Toc102040926"/>
      <w:bookmarkStart w:id="1238" w:name="_Toc102477774"/>
      <w:bookmarkStart w:id="1239" w:name="_Toc102477805"/>
      <w:bookmarkStart w:id="1240" w:name="_Toc109824835"/>
      <w:bookmarkStart w:id="1241" w:name="_Toc109828791"/>
      <w:bookmarkStart w:id="1242" w:name="_Toc109828854"/>
      <w:bookmarkStart w:id="1243" w:name="_Toc109829030"/>
      <w:bookmarkStart w:id="1244" w:name="_Toc109829061"/>
      <w:bookmarkStart w:id="1245" w:name="_Toc109833905"/>
      <w:bookmarkStart w:id="1246" w:name="_Toc110237448"/>
      <w:bookmarkStart w:id="1247" w:name="_Toc117775325"/>
      <w:bookmarkStart w:id="1248" w:name="_Toc117781294"/>
      <w:bookmarkStart w:id="1249" w:name="_Toc125620822"/>
      <w:bookmarkStart w:id="1250" w:name="_Toc125620853"/>
      <w:bookmarkStart w:id="1251" w:name="_Toc125620884"/>
      <w:bookmarkStart w:id="1252" w:name="_Toc125620920"/>
      <w:bookmarkStart w:id="1253" w:name="_Toc125620951"/>
      <w:bookmarkStart w:id="1254" w:name="_Toc125620985"/>
      <w:bookmarkStart w:id="1255" w:name="_Toc125621038"/>
      <w:bookmarkStart w:id="1256" w:name="_Toc125621092"/>
      <w:bookmarkStart w:id="1257" w:name="_Toc125623570"/>
      <w:bookmarkStart w:id="1258" w:name="_Toc125623602"/>
      <w:bookmarkStart w:id="1259" w:name="_Toc125623634"/>
      <w:bookmarkStart w:id="1260" w:name="_Toc125970380"/>
      <w:bookmarkStart w:id="1261" w:name="_Toc125970412"/>
      <w:bookmarkStart w:id="1262" w:name="_Toc127365863"/>
      <w:bookmarkStart w:id="1263" w:name="_Toc127434614"/>
      <w:bookmarkStart w:id="1264" w:name="_Toc127436982"/>
      <w:bookmarkStart w:id="1265" w:name="_Toc127437343"/>
      <w:bookmarkStart w:id="1266" w:name="_Toc127437698"/>
      <w:bookmarkStart w:id="1267" w:name="_Toc133492792"/>
      <w:bookmarkStart w:id="1268" w:name="_Toc133492989"/>
      <w:bookmarkStart w:id="1269" w:name="_Toc133493211"/>
      <w:bookmarkStart w:id="1270" w:name="_Toc133497845"/>
      <w:bookmarkStart w:id="1271" w:name="_Toc133505565"/>
      <w:bookmarkStart w:id="1272" w:name="_Toc133576143"/>
      <w:bookmarkStart w:id="1273" w:name="_Toc133576215"/>
      <w:bookmarkStart w:id="1274" w:name="_Toc133576248"/>
      <w:bookmarkStart w:id="1275" w:name="_Toc133576280"/>
      <w:bookmarkStart w:id="1276" w:name="_Toc133576312"/>
      <w:bookmarkStart w:id="1277" w:name="_Toc133576344"/>
      <w:bookmarkStart w:id="1278" w:name="_Toc133576397"/>
      <w:bookmarkStart w:id="1279" w:name="_Toc133576431"/>
      <w:bookmarkStart w:id="1280" w:name="_Toc133576464"/>
      <w:bookmarkStart w:id="1281" w:name="_Toc133576497"/>
      <w:bookmarkStart w:id="1282" w:name="_Toc141108756"/>
      <w:bookmarkStart w:id="1283" w:name="_Toc141172997"/>
      <w:bookmarkStart w:id="1284" w:name="_Toc141277694"/>
      <w:bookmarkStart w:id="1285" w:name="_Toc141277726"/>
      <w:bookmarkStart w:id="1286" w:name="_Toc141430940"/>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p>
    <w:p w14:paraId="5DA454F1" w14:textId="77777777" w:rsidR="000F19C1" w:rsidRPr="00FC4688"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1287" w:name="_Toc55374013"/>
      <w:bookmarkStart w:id="1288" w:name="_Toc55375150"/>
      <w:bookmarkStart w:id="1289" w:name="_Toc55396558"/>
      <w:bookmarkStart w:id="1290" w:name="_Toc65230555"/>
      <w:bookmarkStart w:id="1291" w:name="_Toc65230793"/>
      <w:bookmarkStart w:id="1292" w:name="_Toc65232077"/>
      <w:bookmarkStart w:id="1293" w:name="_Toc65232322"/>
      <w:bookmarkStart w:id="1294" w:name="_Toc66716181"/>
      <w:bookmarkStart w:id="1295" w:name="_Toc71097225"/>
      <w:bookmarkStart w:id="1296" w:name="_Toc71097256"/>
      <w:bookmarkStart w:id="1297" w:name="_Toc71097331"/>
      <w:bookmarkStart w:id="1298" w:name="_Toc71108071"/>
      <w:bookmarkStart w:id="1299" w:name="_Toc79055265"/>
      <w:bookmarkStart w:id="1300" w:name="_Toc79055296"/>
      <w:bookmarkStart w:id="1301" w:name="_Toc79060187"/>
      <w:bookmarkStart w:id="1302" w:name="_Toc79060474"/>
      <w:bookmarkStart w:id="1303" w:name="_Toc81307831"/>
      <w:bookmarkStart w:id="1304" w:name="_Toc83376492"/>
      <w:bookmarkStart w:id="1305" w:name="_Toc86386731"/>
      <w:bookmarkStart w:id="1306" w:name="_Toc86405417"/>
      <w:bookmarkStart w:id="1307" w:name="_Toc98162447"/>
      <w:bookmarkStart w:id="1308" w:name="_Toc98162479"/>
      <w:bookmarkStart w:id="1309" w:name="_Toc98235005"/>
      <w:bookmarkStart w:id="1310" w:name="_Toc98235200"/>
      <w:bookmarkStart w:id="1311" w:name="_Toc98235285"/>
      <w:bookmarkStart w:id="1312" w:name="_Toc98757155"/>
      <w:bookmarkStart w:id="1313" w:name="_Toc101874710"/>
      <w:bookmarkStart w:id="1314" w:name="_Toc101954166"/>
      <w:bookmarkStart w:id="1315" w:name="_Toc101971983"/>
      <w:bookmarkStart w:id="1316" w:name="_Toc101974075"/>
      <w:bookmarkStart w:id="1317" w:name="_Toc102039760"/>
      <w:bookmarkStart w:id="1318" w:name="_Toc102039798"/>
      <w:bookmarkStart w:id="1319" w:name="_Toc102039838"/>
      <w:bookmarkStart w:id="1320" w:name="_Toc102039869"/>
      <w:bookmarkStart w:id="1321" w:name="_Toc102040927"/>
      <w:bookmarkStart w:id="1322" w:name="_Toc102477775"/>
      <w:bookmarkStart w:id="1323" w:name="_Toc102477806"/>
      <w:bookmarkStart w:id="1324" w:name="_Toc109824836"/>
      <w:bookmarkStart w:id="1325" w:name="_Toc109828792"/>
      <w:bookmarkStart w:id="1326" w:name="_Toc109828855"/>
      <w:bookmarkStart w:id="1327" w:name="_Toc109829031"/>
      <w:bookmarkStart w:id="1328" w:name="_Toc109829062"/>
      <w:bookmarkStart w:id="1329" w:name="_Toc109833906"/>
      <w:bookmarkStart w:id="1330" w:name="_Toc110237449"/>
      <w:bookmarkStart w:id="1331" w:name="_Toc117775326"/>
      <w:bookmarkStart w:id="1332" w:name="_Toc117781295"/>
      <w:bookmarkStart w:id="1333" w:name="_Toc125620823"/>
      <w:bookmarkStart w:id="1334" w:name="_Toc125620854"/>
      <w:bookmarkStart w:id="1335" w:name="_Toc125620885"/>
      <w:bookmarkStart w:id="1336" w:name="_Toc125620921"/>
      <w:bookmarkStart w:id="1337" w:name="_Toc125620952"/>
      <w:bookmarkStart w:id="1338" w:name="_Toc125620986"/>
      <w:bookmarkStart w:id="1339" w:name="_Toc125621039"/>
      <w:bookmarkStart w:id="1340" w:name="_Toc125621093"/>
      <w:bookmarkStart w:id="1341" w:name="_Toc125623571"/>
      <w:bookmarkStart w:id="1342" w:name="_Toc125623603"/>
      <w:bookmarkStart w:id="1343" w:name="_Toc125623635"/>
      <w:bookmarkStart w:id="1344" w:name="_Toc125970381"/>
      <w:bookmarkStart w:id="1345" w:name="_Toc125970413"/>
      <w:bookmarkStart w:id="1346" w:name="_Toc127365864"/>
      <w:bookmarkStart w:id="1347" w:name="_Toc127434615"/>
      <w:bookmarkStart w:id="1348" w:name="_Toc127436983"/>
      <w:bookmarkStart w:id="1349" w:name="_Toc127437344"/>
      <w:bookmarkStart w:id="1350" w:name="_Toc127437699"/>
      <w:bookmarkStart w:id="1351" w:name="_Toc133492793"/>
      <w:bookmarkStart w:id="1352" w:name="_Toc133492990"/>
      <w:bookmarkStart w:id="1353" w:name="_Toc133493212"/>
      <w:bookmarkStart w:id="1354" w:name="_Toc133497846"/>
      <w:bookmarkStart w:id="1355" w:name="_Toc133505566"/>
      <w:bookmarkStart w:id="1356" w:name="_Toc133576144"/>
      <w:bookmarkStart w:id="1357" w:name="_Toc133576216"/>
      <w:bookmarkStart w:id="1358" w:name="_Toc133576249"/>
      <w:bookmarkStart w:id="1359" w:name="_Toc133576281"/>
      <w:bookmarkStart w:id="1360" w:name="_Toc133576313"/>
      <w:bookmarkStart w:id="1361" w:name="_Toc133576345"/>
      <w:bookmarkStart w:id="1362" w:name="_Toc133576398"/>
      <w:bookmarkStart w:id="1363" w:name="_Toc133576432"/>
      <w:bookmarkStart w:id="1364" w:name="_Toc133576465"/>
      <w:bookmarkStart w:id="1365" w:name="_Toc133576498"/>
      <w:bookmarkStart w:id="1366" w:name="_Toc141108757"/>
      <w:bookmarkStart w:id="1367" w:name="_Toc141172998"/>
      <w:bookmarkStart w:id="1368" w:name="_Toc141277695"/>
      <w:bookmarkStart w:id="1369" w:name="_Toc141277727"/>
      <w:bookmarkStart w:id="1370" w:name="_Toc141430941"/>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p>
    <w:p w14:paraId="045B7FE4" w14:textId="77777777" w:rsidR="00C56688" w:rsidRPr="00FC4688" w:rsidRDefault="00C56688" w:rsidP="00C56688">
      <w:pPr>
        <w:pStyle w:val="Prrafodelista"/>
        <w:keepNext/>
        <w:keepLines/>
        <w:numPr>
          <w:ilvl w:val="0"/>
          <w:numId w:val="12"/>
        </w:numPr>
        <w:tabs>
          <w:tab w:val="left" w:pos="426"/>
        </w:tabs>
        <w:spacing w:after="120"/>
        <w:contextualSpacing w:val="0"/>
        <w:outlineLvl w:val="1"/>
        <w:rPr>
          <w:rFonts w:eastAsiaTheme="majorEastAsia" w:cs="Times New Roman"/>
          <w:b/>
          <w:bCs/>
          <w:vanish/>
          <w:sz w:val="24"/>
          <w:szCs w:val="26"/>
          <w:lang w:eastAsia="es-ES"/>
        </w:rPr>
      </w:pPr>
      <w:bookmarkStart w:id="1371" w:name="_Toc55374014"/>
      <w:bookmarkStart w:id="1372" w:name="_Toc55375151"/>
      <w:bookmarkStart w:id="1373" w:name="_Toc55396559"/>
      <w:bookmarkStart w:id="1374" w:name="_Toc65230556"/>
      <w:bookmarkStart w:id="1375" w:name="_Toc65230794"/>
      <w:bookmarkStart w:id="1376" w:name="_Toc65232078"/>
      <w:bookmarkStart w:id="1377" w:name="_Toc65232323"/>
      <w:bookmarkStart w:id="1378" w:name="_Toc66716182"/>
      <w:bookmarkStart w:id="1379" w:name="_Toc71097226"/>
      <w:bookmarkStart w:id="1380" w:name="_Toc71097257"/>
      <w:bookmarkStart w:id="1381" w:name="_Toc71097332"/>
      <w:bookmarkStart w:id="1382" w:name="_Toc71108072"/>
      <w:bookmarkStart w:id="1383" w:name="_Toc79055266"/>
      <w:bookmarkStart w:id="1384" w:name="_Toc79055297"/>
      <w:bookmarkStart w:id="1385" w:name="_Toc79060188"/>
      <w:bookmarkStart w:id="1386" w:name="_Toc79060475"/>
      <w:bookmarkStart w:id="1387" w:name="_Toc81307832"/>
      <w:bookmarkStart w:id="1388" w:name="_Toc83376493"/>
      <w:bookmarkStart w:id="1389" w:name="_Toc86386732"/>
      <w:bookmarkStart w:id="1390" w:name="_Toc86405418"/>
      <w:bookmarkStart w:id="1391" w:name="_Toc98162448"/>
      <w:bookmarkStart w:id="1392" w:name="_Toc98162480"/>
      <w:bookmarkStart w:id="1393" w:name="_Toc98235006"/>
      <w:bookmarkStart w:id="1394" w:name="_Toc98235201"/>
      <w:bookmarkStart w:id="1395" w:name="_Toc98235286"/>
      <w:bookmarkStart w:id="1396" w:name="_Toc98757156"/>
      <w:bookmarkStart w:id="1397" w:name="_Toc101874711"/>
      <w:bookmarkStart w:id="1398" w:name="_Toc101954167"/>
      <w:bookmarkStart w:id="1399" w:name="_Toc101971984"/>
      <w:bookmarkStart w:id="1400" w:name="_Toc101974076"/>
      <w:bookmarkStart w:id="1401" w:name="_Toc102039761"/>
      <w:bookmarkStart w:id="1402" w:name="_Toc102039799"/>
      <w:bookmarkStart w:id="1403" w:name="_Toc102039839"/>
      <w:bookmarkStart w:id="1404" w:name="_Toc102039870"/>
      <w:bookmarkStart w:id="1405" w:name="_Toc102040928"/>
      <w:bookmarkStart w:id="1406" w:name="_Toc102477776"/>
      <w:bookmarkStart w:id="1407" w:name="_Toc102477807"/>
      <w:bookmarkStart w:id="1408" w:name="_Toc109824837"/>
      <w:bookmarkStart w:id="1409" w:name="_Toc109828793"/>
      <w:bookmarkStart w:id="1410" w:name="_Toc109828856"/>
      <w:bookmarkStart w:id="1411" w:name="_Toc109829032"/>
      <w:bookmarkStart w:id="1412" w:name="_Toc109829063"/>
      <w:bookmarkStart w:id="1413" w:name="_Toc109833907"/>
      <w:bookmarkStart w:id="1414" w:name="_Toc110237450"/>
      <w:bookmarkStart w:id="1415" w:name="_Toc117775327"/>
      <w:bookmarkStart w:id="1416" w:name="_Toc117781296"/>
      <w:bookmarkStart w:id="1417" w:name="_Toc125620824"/>
      <w:bookmarkStart w:id="1418" w:name="_Toc125620855"/>
      <w:bookmarkStart w:id="1419" w:name="_Toc125620886"/>
      <w:bookmarkStart w:id="1420" w:name="_Toc125620922"/>
      <w:bookmarkStart w:id="1421" w:name="_Toc125620953"/>
      <w:bookmarkStart w:id="1422" w:name="_Toc125620987"/>
      <w:bookmarkStart w:id="1423" w:name="_Toc125621040"/>
      <w:bookmarkStart w:id="1424" w:name="_Toc125621094"/>
      <w:bookmarkStart w:id="1425" w:name="_Toc125623572"/>
      <w:bookmarkStart w:id="1426" w:name="_Toc125623604"/>
      <w:bookmarkStart w:id="1427" w:name="_Toc125623636"/>
      <w:bookmarkStart w:id="1428" w:name="_Toc125970382"/>
      <w:bookmarkStart w:id="1429" w:name="_Toc125970414"/>
      <w:bookmarkStart w:id="1430" w:name="_Toc127365865"/>
      <w:bookmarkStart w:id="1431" w:name="_Toc127434616"/>
      <w:bookmarkStart w:id="1432" w:name="_Toc127436984"/>
      <w:bookmarkStart w:id="1433" w:name="_Toc127437345"/>
      <w:bookmarkStart w:id="1434" w:name="_Toc127437700"/>
      <w:bookmarkStart w:id="1435" w:name="_Toc133492794"/>
      <w:bookmarkStart w:id="1436" w:name="_Toc133492991"/>
      <w:bookmarkStart w:id="1437" w:name="_Toc133493213"/>
      <w:bookmarkStart w:id="1438" w:name="_Toc133497847"/>
      <w:bookmarkStart w:id="1439" w:name="_Toc133505567"/>
      <w:bookmarkStart w:id="1440" w:name="_Toc133576145"/>
      <w:bookmarkStart w:id="1441" w:name="_Toc133576217"/>
      <w:bookmarkStart w:id="1442" w:name="_Toc133576250"/>
      <w:bookmarkStart w:id="1443" w:name="_Toc133576282"/>
      <w:bookmarkStart w:id="1444" w:name="_Toc133576314"/>
      <w:bookmarkStart w:id="1445" w:name="_Toc133576346"/>
      <w:bookmarkStart w:id="1446" w:name="_Toc133576399"/>
      <w:bookmarkStart w:id="1447" w:name="_Toc133576433"/>
      <w:bookmarkStart w:id="1448" w:name="_Toc133576466"/>
      <w:bookmarkStart w:id="1449" w:name="_Toc133576499"/>
      <w:bookmarkStart w:id="1450" w:name="_Toc141108758"/>
      <w:bookmarkStart w:id="1451" w:name="_Toc141172999"/>
      <w:bookmarkStart w:id="1452" w:name="_Toc141277696"/>
      <w:bookmarkStart w:id="1453" w:name="_Toc141277728"/>
      <w:bookmarkStart w:id="1454" w:name="_Toc141430942"/>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14:paraId="4545F53E" w14:textId="2F16DEEE" w:rsidR="00490038" w:rsidRPr="00FC4688" w:rsidRDefault="00C23BDB" w:rsidP="00C56688">
      <w:pPr>
        <w:pStyle w:val="Ttulo2"/>
        <w:numPr>
          <w:ilvl w:val="1"/>
          <w:numId w:val="12"/>
        </w:numPr>
        <w:tabs>
          <w:tab w:val="left" w:pos="426"/>
        </w:tabs>
        <w:spacing w:before="0"/>
        <w:rPr>
          <w:rFonts w:ascii="Times New Roman" w:hAnsi="Times New Roman" w:cs="Times New Roman"/>
          <w:color w:val="auto"/>
          <w:sz w:val="24"/>
        </w:rPr>
      </w:pPr>
      <w:bookmarkStart w:id="1455" w:name="_Toc141430943"/>
      <w:r>
        <w:rPr>
          <w:rFonts w:ascii="Times New Roman" w:hAnsi="Times New Roman" w:cs="Times New Roman"/>
          <w:color w:val="auto"/>
          <w:sz w:val="24"/>
        </w:rPr>
        <w:t xml:space="preserve">Las erogaciones </w:t>
      </w:r>
      <w:r w:rsidR="0041020F">
        <w:rPr>
          <w:rFonts w:ascii="Times New Roman" w:hAnsi="Times New Roman" w:cs="Times New Roman"/>
          <w:color w:val="auto"/>
          <w:sz w:val="24"/>
        </w:rPr>
        <w:t>en</w:t>
      </w:r>
      <w:r w:rsidR="00E026BA">
        <w:rPr>
          <w:rFonts w:ascii="Times New Roman" w:hAnsi="Times New Roman" w:cs="Times New Roman"/>
          <w:color w:val="auto"/>
          <w:sz w:val="24"/>
        </w:rPr>
        <w:t xml:space="preserve"> protección social</w:t>
      </w:r>
      <w:r w:rsidR="0065733C">
        <w:rPr>
          <w:rFonts w:ascii="Times New Roman" w:hAnsi="Times New Roman" w:cs="Times New Roman"/>
          <w:color w:val="auto"/>
          <w:sz w:val="24"/>
        </w:rPr>
        <w:t xml:space="preserve"> han sido las </w:t>
      </w:r>
      <w:r w:rsidR="00FE7090">
        <w:rPr>
          <w:rFonts w:ascii="Times New Roman" w:hAnsi="Times New Roman" w:cs="Times New Roman"/>
          <w:color w:val="auto"/>
          <w:sz w:val="24"/>
        </w:rPr>
        <w:t>más</w:t>
      </w:r>
      <w:r w:rsidR="0065733C">
        <w:rPr>
          <w:rFonts w:ascii="Times New Roman" w:hAnsi="Times New Roman" w:cs="Times New Roman"/>
          <w:color w:val="auto"/>
          <w:sz w:val="24"/>
        </w:rPr>
        <w:t xml:space="preserve"> dinámicas</w:t>
      </w:r>
      <w:bookmarkEnd w:id="1455"/>
    </w:p>
    <w:p w14:paraId="4C8BF699" w14:textId="5B5A2081" w:rsidR="00E74EAE" w:rsidRPr="00E74EAE" w:rsidRDefault="00E74EAE" w:rsidP="00E74EAE">
      <w:pPr>
        <w:rPr>
          <w:rFonts w:cs="Times New Roman"/>
          <w:szCs w:val="22"/>
        </w:rPr>
      </w:pPr>
      <w:r w:rsidRPr="00E74EAE">
        <w:rPr>
          <w:rFonts w:cs="Times New Roman"/>
          <w:szCs w:val="22"/>
        </w:rPr>
        <w:t>Las erogaciones del Gobierno Central Presupuestario acumuladas al segundo trimestre de 2023 ascendieron a Q54,974.0 millones, que representa un aumento del 17.1% (Q8,026.0 millones) respecto del mismo periodo del año previo. Cabe mencionar que las erogaciones con mayor movimiento registrado en el periodo fueron las erogaciones por protección social, que alcanzaron una ejecución de Q6,794.0 millones que representa un aumento del 36.3% (Q1,810.0 millones</w:t>
      </w:r>
      <w:r w:rsidR="00AE1D1C">
        <w:rPr>
          <w:rFonts w:cs="Times New Roman"/>
          <w:szCs w:val="22"/>
        </w:rPr>
        <w:t>)</w:t>
      </w:r>
      <w:r w:rsidRPr="00E74EAE">
        <w:rPr>
          <w:rFonts w:cs="Times New Roman"/>
          <w:szCs w:val="22"/>
        </w:rPr>
        <w:t xml:space="preserve"> respecto a 2022. La principal razón del aumento en esta función se debe a las operaciones</w:t>
      </w:r>
      <w:r w:rsidR="00FF76F8">
        <w:rPr>
          <w:rFonts w:cs="Times New Roman"/>
          <w:szCs w:val="22"/>
        </w:rPr>
        <w:t xml:space="preserve"> asociadas a la subcategoría</w:t>
      </w:r>
      <w:r w:rsidRPr="00E74EAE">
        <w:rPr>
          <w:rFonts w:cs="Times New Roman"/>
          <w:szCs w:val="22"/>
        </w:rPr>
        <w:t xml:space="preserve"> de protección por edad avanzada, que ascendió a Q4,938.8 millones con un aumento de 33.2% (Q1,230.1 millones)</w:t>
      </w:r>
      <w:r w:rsidR="00AA1E8D">
        <w:rPr>
          <w:rFonts w:cs="Times New Roman"/>
          <w:szCs w:val="22"/>
        </w:rPr>
        <w:t xml:space="preserve"> y</w:t>
      </w:r>
      <w:r w:rsidR="00AB0764">
        <w:rPr>
          <w:rFonts w:cs="Times New Roman"/>
          <w:szCs w:val="22"/>
        </w:rPr>
        <w:t xml:space="preserve"> </w:t>
      </w:r>
      <w:r w:rsidR="00224EFE">
        <w:rPr>
          <w:rFonts w:cs="Times New Roman"/>
          <w:szCs w:val="22"/>
        </w:rPr>
        <w:t>explicado principalmente por el pago en jubilaciones y/o retiros</w:t>
      </w:r>
      <w:r w:rsidR="00136F81">
        <w:rPr>
          <w:rFonts w:cs="Times New Roman"/>
          <w:szCs w:val="22"/>
        </w:rPr>
        <w:t xml:space="preserve"> que se realiza a través de las Obligaciones del Estado a Cargo del Tesoro</w:t>
      </w:r>
      <w:r w:rsidR="00AA1E8D">
        <w:rPr>
          <w:rFonts w:cs="Times New Roman"/>
          <w:szCs w:val="22"/>
        </w:rPr>
        <w:t xml:space="preserve"> y</w:t>
      </w:r>
      <w:r w:rsidR="0096375F">
        <w:rPr>
          <w:rFonts w:cs="Times New Roman"/>
          <w:szCs w:val="22"/>
        </w:rPr>
        <w:t xml:space="preserve"> los aportes que realiza el Ministerio de Trabajo y Prevención Social a</w:t>
      </w:r>
      <w:r w:rsidR="00FB1266">
        <w:rPr>
          <w:rFonts w:cs="Times New Roman"/>
          <w:szCs w:val="22"/>
        </w:rPr>
        <w:t xml:space="preserve"> través del programa de Aporte Económico al Adulto Mayor</w:t>
      </w:r>
      <w:r w:rsidRPr="00E74EAE">
        <w:rPr>
          <w:rFonts w:cs="Times New Roman"/>
          <w:szCs w:val="22"/>
        </w:rPr>
        <w:t>, la</w:t>
      </w:r>
      <w:r w:rsidR="00977319">
        <w:rPr>
          <w:rFonts w:cs="Times New Roman"/>
          <w:szCs w:val="22"/>
        </w:rPr>
        <w:t xml:space="preserve"> segunda</w:t>
      </w:r>
      <w:r w:rsidR="00362508">
        <w:rPr>
          <w:rFonts w:cs="Times New Roman"/>
          <w:szCs w:val="22"/>
        </w:rPr>
        <w:t xml:space="preserve"> subcategoría</w:t>
      </w:r>
      <w:r w:rsidR="00113615">
        <w:rPr>
          <w:rFonts w:cs="Times New Roman"/>
          <w:szCs w:val="22"/>
        </w:rPr>
        <w:t xml:space="preserve"> con mayor crecimiento</w:t>
      </w:r>
      <w:r w:rsidR="00977319">
        <w:rPr>
          <w:rFonts w:cs="Times New Roman"/>
          <w:szCs w:val="22"/>
        </w:rPr>
        <w:t xml:space="preserve"> es </w:t>
      </w:r>
      <w:r w:rsidR="00113615">
        <w:rPr>
          <w:rFonts w:cs="Times New Roman"/>
          <w:szCs w:val="22"/>
        </w:rPr>
        <w:t xml:space="preserve">en la protección de </w:t>
      </w:r>
      <w:r w:rsidRPr="00E74EAE">
        <w:rPr>
          <w:rFonts w:cs="Times New Roman"/>
          <w:szCs w:val="22"/>
        </w:rPr>
        <w:t>vivienda, que registró el monto de Q324.1 millones, con incremento de</w:t>
      </w:r>
      <w:r w:rsidR="006C35A6">
        <w:rPr>
          <w:rFonts w:cs="Times New Roman"/>
          <w:szCs w:val="22"/>
        </w:rPr>
        <w:t>l</w:t>
      </w:r>
      <w:r w:rsidRPr="00E74EAE">
        <w:rPr>
          <w:rFonts w:cs="Times New Roman"/>
          <w:szCs w:val="22"/>
        </w:rPr>
        <w:t xml:space="preserve"> 268.4% (Q236.1 millones)</w:t>
      </w:r>
      <w:r w:rsidR="00C21F9C">
        <w:rPr>
          <w:rFonts w:cs="Times New Roman"/>
          <w:szCs w:val="22"/>
        </w:rPr>
        <w:t xml:space="preserve"> principalmente explicado por el aporte que realiza </w:t>
      </w:r>
      <w:r w:rsidR="00A67FB5">
        <w:rPr>
          <w:rFonts w:cs="Times New Roman"/>
          <w:szCs w:val="22"/>
        </w:rPr>
        <w:t>el Ministerio de Comunicaciones, Infraestructura y Vivienda</w:t>
      </w:r>
      <w:r w:rsidR="00C25BEC">
        <w:rPr>
          <w:rFonts w:cs="Times New Roman"/>
          <w:szCs w:val="22"/>
        </w:rPr>
        <w:t xml:space="preserve"> a las </w:t>
      </w:r>
      <w:r w:rsidR="00994B49">
        <w:rPr>
          <w:rFonts w:cs="Times New Roman"/>
          <w:szCs w:val="22"/>
        </w:rPr>
        <w:t>personas individuales y unidades familiares</w:t>
      </w:r>
      <w:r w:rsidR="00A67FB5">
        <w:rPr>
          <w:rFonts w:cs="Times New Roman"/>
          <w:szCs w:val="22"/>
        </w:rPr>
        <w:t xml:space="preserve"> </w:t>
      </w:r>
      <w:r w:rsidR="004318DA">
        <w:rPr>
          <w:rFonts w:cs="Times New Roman"/>
          <w:szCs w:val="22"/>
        </w:rPr>
        <w:t>en</w:t>
      </w:r>
      <w:r w:rsidR="00A67FB5">
        <w:rPr>
          <w:rFonts w:cs="Times New Roman"/>
          <w:szCs w:val="22"/>
        </w:rPr>
        <w:t xml:space="preserve"> </w:t>
      </w:r>
      <w:r w:rsidR="004318DA">
        <w:rPr>
          <w:rFonts w:cs="Times New Roman"/>
          <w:szCs w:val="22"/>
        </w:rPr>
        <w:t xml:space="preserve">el programa de </w:t>
      </w:r>
      <w:r w:rsidR="00CF4AB7">
        <w:rPr>
          <w:rFonts w:cs="Times New Roman"/>
          <w:szCs w:val="22"/>
        </w:rPr>
        <w:t>D</w:t>
      </w:r>
      <w:r w:rsidR="004318DA">
        <w:rPr>
          <w:rFonts w:cs="Times New Roman"/>
          <w:szCs w:val="22"/>
        </w:rPr>
        <w:t xml:space="preserve">esarrollo de </w:t>
      </w:r>
      <w:r w:rsidR="00CF4AB7">
        <w:rPr>
          <w:rFonts w:cs="Times New Roman"/>
          <w:szCs w:val="22"/>
        </w:rPr>
        <w:t>l</w:t>
      </w:r>
      <w:r w:rsidR="00956C9C">
        <w:rPr>
          <w:rFonts w:cs="Times New Roman"/>
          <w:szCs w:val="22"/>
        </w:rPr>
        <w:t xml:space="preserve">a </w:t>
      </w:r>
      <w:r w:rsidR="00CF4AB7">
        <w:rPr>
          <w:rFonts w:cs="Times New Roman"/>
          <w:szCs w:val="22"/>
        </w:rPr>
        <w:t>V</w:t>
      </w:r>
      <w:r w:rsidR="00956C9C">
        <w:rPr>
          <w:rFonts w:cs="Times New Roman"/>
          <w:szCs w:val="22"/>
        </w:rPr>
        <w:t>ivienda</w:t>
      </w:r>
      <w:r w:rsidRPr="00E74EAE">
        <w:rPr>
          <w:rFonts w:cs="Times New Roman"/>
          <w:szCs w:val="22"/>
        </w:rPr>
        <w:t>.</w:t>
      </w:r>
    </w:p>
    <w:p w14:paraId="30802D84" w14:textId="77777777" w:rsidR="00E74EAE" w:rsidRPr="00E74EAE" w:rsidRDefault="00E74EAE" w:rsidP="00E74EAE">
      <w:pPr>
        <w:rPr>
          <w:rFonts w:cs="Times New Roman"/>
          <w:szCs w:val="22"/>
        </w:rPr>
      </w:pPr>
    </w:p>
    <w:p w14:paraId="405EE3F0" w14:textId="6A0484E0" w:rsidR="00E74EAE" w:rsidRPr="00E74EAE" w:rsidRDefault="00E74EAE" w:rsidP="00E74EAE">
      <w:pPr>
        <w:rPr>
          <w:rFonts w:cs="Times New Roman"/>
          <w:szCs w:val="22"/>
        </w:rPr>
      </w:pPr>
      <w:r w:rsidRPr="00E74EAE">
        <w:rPr>
          <w:rFonts w:cs="Times New Roman"/>
          <w:szCs w:val="22"/>
        </w:rPr>
        <w:t xml:space="preserve">El segundo crecimiento más alto se dio en las erogaciones destinadas </w:t>
      </w:r>
      <w:r w:rsidR="00690AC3">
        <w:rPr>
          <w:rFonts w:cs="Times New Roman"/>
          <w:szCs w:val="22"/>
        </w:rPr>
        <w:t xml:space="preserve">a </w:t>
      </w:r>
      <w:r w:rsidRPr="00E74EAE">
        <w:rPr>
          <w:rFonts w:cs="Times New Roman"/>
          <w:szCs w:val="22"/>
        </w:rPr>
        <w:t>los servicios públicos generales que fueron de Q10,555.0 millones, con variación interanual de 19.3% (1,709.6 millones), donde el gasto más representativo lo constituye los servicios de la deuda pública que ascendieron a Q6,397.9 millones, con variación de 9.3% (Q541.7 millones)</w:t>
      </w:r>
      <w:r w:rsidR="00696A58">
        <w:rPr>
          <w:rFonts w:cs="Times New Roman"/>
          <w:szCs w:val="22"/>
        </w:rPr>
        <w:t>,</w:t>
      </w:r>
      <w:r w:rsidRPr="00E74EAE">
        <w:rPr>
          <w:rFonts w:cs="Times New Roman"/>
          <w:szCs w:val="22"/>
        </w:rPr>
        <w:t xml:space="preserve"> seguido del gasto por órganos ejecutivos y legislativos, que ascendieron a Q2,215.6 millones, con crecimiento interanual de 6.3% (Q131.9 millones).</w:t>
      </w:r>
    </w:p>
    <w:p w14:paraId="09B51A95" w14:textId="77777777" w:rsidR="00004307" w:rsidRDefault="00004307" w:rsidP="00E74EAE">
      <w:pPr>
        <w:rPr>
          <w:rFonts w:cs="Times New Roman"/>
          <w:szCs w:val="22"/>
        </w:rPr>
      </w:pPr>
    </w:p>
    <w:p w14:paraId="775E4BEF" w14:textId="1E99B4AD" w:rsidR="004B43FA" w:rsidRDefault="004B43FA" w:rsidP="00E74EAE">
      <w:pPr>
        <w:rPr>
          <w:rFonts w:cs="Times New Roman"/>
          <w:szCs w:val="22"/>
        </w:rPr>
      </w:pPr>
      <w:r w:rsidRPr="00FC4688">
        <w:rPr>
          <w:rFonts w:cs="Times New Roman"/>
          <w:noProof/>
          <w:lang w:eastAsia="es-GT"/>
        </w:rPr>
        <w:drawing>
          <wp:inline distT="0" distB="0" distL="0" distR="0" wp14:anchorId="06432DC7" wp14:editId="16087D63">
            <wp:extent cx="5934710" cy="3357349"/>
            <wp:effectExtent l="0" t="0" r="8890" b="1460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3C96F6B" w14:textId="77777777" w:rsidR="00004307" w:rsidRDefault="00004307" w:rsidP="00004307">
      <w:pPr>
        <w:rPr>
          <w:rFonts w:cs="Times New Roman"/>
          <w:szCs w:val="22"/>
        </w:rPr>
      </w:pPr>
      <w:r w:rsidRPr="00E74EAE">
        <w:rPr>
          <w:rFonts w:cs="Times New Roman"/>
          <w:szCs w:val="22"/>
        </w:rPr>
        <w:t>La</w:t>
      </w:r>
      <w:r>
        <w:rPr>
          <w:rFonts w:cs="Times New Roman"/>
          <w:szCs w:val="22"/>
        </w:rPr>
        <w:t>s</w:t>
      </w:r>
      <w:r w:rsidRPr="00E74EAE">
        <w:rPr>
          <w:rFonts w:cs="Times New Roman"/>
          <w:szCs w:val="22"/>
        </w:rPr>
        <w:t xml:space="preserve"> erogaci</w:t>
      </w:r>
      <w:r>
        <w:rPr>
          <w:rFonts w:cs="Times New Roman"/>
          <w:szCs w:val="22"/>
        </w:rPr>
        <w:t>o</w:t>
      </w:r>
      <w:r w:rsidRPr="00E74EAE">
        <w:rPr>
          <w:rFonts w:cs="Times New Roman"/>
          <w:szCs w:val="22"/>
        </w:rPr>
        <w:t>n</w:t>
      </w:r>
      <w:r>
        <w:rPr>
          <w:rFonts w:cs="Times New Roman"/>
          <w:szCs w:val="22"/>
        </w:rPr>
        <w:t>es</w:t>
      </w:r>
      <w:r w:rsidRPr="00E74EAE">
        <w:rPr>
          <w:rFonts w:cs="Times New Roman"/>
          <w:szCs w:val="22"/>
        </w:rPr>
        <w:t xml:space="preserve"> en funciones de Educación al segundo trimestre de 2023 registraron el monto de Q12,476.7 millones</w:t>
      </w:r>
      <w:r>
        <w:rPr>
          <w:rFonts w:cs="Times New Roman"/>
          <w:szCs w:val="22"/>
        </w:rPr>
        <w:t xml:space="preserve"> y</w:t>
      </w:r>
      <w:r w:rsidRPr="00E74EAE">
        <w:rPr>
          <w:rFonts w:cs="Times New Roman"/>
          <w:szCs w:val="22"/>
        </w:rPr>
        <w:t xml:space="preserve"> aumentaron </w:t>
      </w:r>
      <w:r>
        <w:rPr>
          <w:rFonts w:cs="Times New Roman"/>
          <w:szCs w:val="22"/>
        </w:rPr>
        <w:t>en</w:t>
      </w:r>
      <w:r w:rsidRPr="00E74EAE">
        <w:rPr>
          <w:rFonts w:cs="Times New Roman"/>
          <w:szCs w:val="22"/>
        </w:rPr>
        <w:t xml:space="preserve"> 15.5% (Q1,678.4 millones), seguido de las erogaciones por Asunto Económicos con</w:t>
      </w:r>
      <w:r>
        <w:rPr>
          <w:rFonts w:cs="Times New Roman"/>
          <w:szCs w:val="22"/>
        </w:rPr>
        <w:t xml:space="preserve"> una ejecución del Q</w:t>
      </w:r>
      <w:r w:rsidRPr="0055042A">
        <w:rPr>
          <w:rFonts w:cs="Times New Roman"/>
          <w:szCs w:val="22"/>
        </w:rPr>
        <w:t xml:space="preserve">6,273.5 </w:t>
      </w:r>
      <w:r>
        <w:rPr>
          <w:rFonts w:cs="Times New Roman"/>
          <w:szCs w:val="22"/>
        </w:rPr>
        <w:t>millones con un</w:t>
      </w:r>
      <w:r w:rsidRPr="00E74EAE">
        <w:rPr>
          <w:rFonts w:cs="Times New Roman"/>
          <w:szCs w:val="22"/>
        </w:rPr>
        <w:t xml:space="preserve"> incremento del 27.2% (Q1,343.3 millones). </w:t>
      </w:r>
    </w:p>
    <w:p w14:paraId="16D58BF9" w14:textId="77777777" w:rsidR="0055042A" w:rsidRDefault="0055042A" w:rsidP="00E74EAE">
      <w:pPr>
        <w:rPr>
          <w:rFonts w:cs="Times New Roman"/>
          <w:szCs w:val="22"/>
        </w:rPr>
      </w:pPr>
    </w:p>
    <w:p w14:paraId="3A8AA16E" w14:textId="16A6D148" w:rsidR="00821DE8" w:rsidRDefault="001B3718" w:rsidP="00E74EAE">
      <w:pPr>
        <w:rPr>
          <w:rFonts w:cs="Times New Roman"/>
          <w:szCs w:val="22"/>
        </w:rPr>
      </w:pPr>
      <w:r>
        <w:rPr>
          <w:rFonts w:cs="Times New Roman"/>
          <w:szCs w:val="22"/>
        </w:rPr>
        <w:t>Por su parte, las erogaciones en</w:t>
      </w:r>
      <w:r w:rsidR="00E74EAE" w:rsidRPr="00E74EAE">
        <w:rPr>
          <w:rFonts w:cs="Times New Roman"/>
          <w:szCs w:val="22"/>
        </w:rPr>
        <w:t xml:space="preserve"> Vivienda y servicios comunitarios</w:t>
      </w:r>
      <w:r w:rsidR="005B78F4">
        <w:rPr>
          <w:rFonts w:cs="Times New Roman"/>
          <w:szCs w:val="22"/>
        </w:rPr>
        <w:t xml:space="preserve"> ascienden a Q</w:t>
      </w:r>
      <w:r w:rsidR="005B78F4" w:rsidRPr="005B78F4">
        <w:rPr>
          <w:rFonts w:cs="Times New Roman"/>
          <w:szCs w:val="22"/>
        </w:rPr>
        <w:t xml:space="preserve">5,590.9 </w:t>
      </w:r>
      <w:r w:rsidR="005B78F4">
        <w:rPr>
          <w:rFonts w:cs="Times New Roman"/>
          <w:szCs w:val="22"/>
        </w:rPr>
        <w:t xml:space="preserve">millones y mostrando un </w:t>
      </w:r>
      <w:r w:rsidR="00E74EAE" w:rsidRPr="00E74EAE">
        <w:rPr>
          <w:rFonts w:cs="Times New Roman"/>
          <w:szCs w:val="22"/>
        </w:rPr>
        <w:t xml:space="preserve"> </w:t>
      </w:r>
      <w:r w:rsidR="005B78F4">
        <w:rPr>
          <w:rFonts w:cs="Times New Roman"/>
          <w:szCs w:val="22"/>
        </w:rPr>
        <w:t xml:space="preserve">crecimiento </w:t>
      </w:r>
      <w:r w:rsidR="002C1946">
        <w:rPr>
          <w:rFonts w:cs="Times New Roman"/>
          <w:szCs w:val="22"/>
        </w:rPr>
        <w:t xml:space="preserve">de </w:t>
      </w:r>
      <w:r w:rsidR="00E74EAE" w:rsidRPr="00E74EAE">
        <w:rPr>
          <w:rFonts w:cs="Times New Roman"/>
          <w:szCs w:val="22"/>
        </w:rPr>
        <w:t>17.8% (Q844.6 millones), mientras que las erogaciones destinadas al Orden Público y Seguridad</w:t>
      </w:r>
      <w:r w:rsidR="002C1946">
        <w:rPr>
          <w:rFonts w:cs="Times New Roman"/>
          <w:szCs w:val="22"/>
        </w:rPr>
        <w:t xml:space="preserve"> tuvieron una ejecución </w:t>
      </w:r>
      <w:r w:rsidR="00755054">
        <w:rPr>
          <w:rFonts w:cs="Times New Roman"/>
          <w:szCs w:val="22"/>
        </w:rPr>
        <w:t>de Q</w:t>
      </w:r>
      <w:r w:rsidR="00755054" w:rsidRPr="00755054">
        <w:rPr>
          <w:rFonts w:cs="Times New Roman"/>
          <w:szCs w:val="22"/>
        </w:rPr>
        <w:t>6,503.7</w:t>
      </w:r>
      <w:r w:rsidR="00755054">
        <w:rPr>
          <w:rFonts w:cs="Times New Roman"/>
          <w:szCs w:val="22"/>
        </w:rPr>
        <w:t xml:space="preserve"> millones y</w:t>
      </w:r>
      <w:r w:rsidR="00E74EAE" w:rsidRPr="00E74EAE">
        <w:rPr>
          <w:rFonts w:cs="Times New Roman"/>
          <w:szCs w:val="22"/>
        </w:rPr>
        <w:t xml:space="preserve"> crecieron en 13.9% (Q795.6 millones)</w:t>
      </w:r>
      <w:r w:rsidR="00755054">
        <w:rPr>
          <w:rFonts w:cs="Times New Roman"/>
          <w:szCs w:val="22"/>
        </w:rPr>
        <w:t>,</w:t>
      </w:r>
      <w:r w:rsidR="00E74EAE" w:rsidRPr="00E74EAE">
        <w:rPr>
          <w:rFonts w:cs="Times New Roman"/>
          <w:szCs w:val="22"/>
        </w:rPr>
        <w:t xml:space="preserve"> </w:t>
      </w:r>
      <w:r w:rsidR="00755054">
        <w:rPr>
          <w:rFonts w:cs="Times New Roman"/>
          <w:szCs w:val="22"/>
        </w:rPr>
        <w:t>en cuanto a la categoría de</w:t>
      </w:r>
      <w:r w:rsidR="00E74EAE" w:rsidRPr="00E74EAE">
        <w:rPr>
          <w:rFonts w:cs="Times New Roman"/>
          <w:szCs w:val="22"/>
        </w:rPr>
        <w:t xml:space="preserve"> Actividades recreativas, cultura y religión</w:t>
      </w:r>
      <w:r w:rsidR="000177EF">
        <w:rPr>
          <w:rFonts w:cs="Times New Roman"/>
          <w:szCs w:val="22"/>
        </w:rPr>
        <w:t xml:space="preserve"> tuvieron una ejecución de Q</w:t>
      </w:r>
      <w:r w:rsidR="00564719">
        <w:rPr>
          <w:rFonts w:cs="Times New Roman"/>
          <w:szCs w:val="22"/>
        </w:rPr>
        <w:t>740.0</w:t>
      </w:r>
      <w:r w:rsidR="000177EF" w:rsidRPr="000177EF">
        <w:rPr>
          <w:rFonts w:cs="Times New Roman"/>
          <w:szCs w:val="22"/>
        </w:rPr>
        <w:t xml:space="preserve"> </w:t>
      </w:r>
      <w:r w:rsidR="000177EF">
        <w:rPr>
          <w:rFonts w:cs="Times New Roman"/>
          <w:szCs w:val="22"/>
        </w:rPr>
        <w:t>millones con</w:t>
      </w:r>
      <w:r w:rsidR="00E74EAE" w:rsidRPr="00E74EAE">
        <w:rPr>
          <w:rFonts w:cs="Times New Roman"/>
          <w:szCs w:val="22"/>
        </w:rPr>
        <w:t xml:space="preserve"> crecimiento de</w:t>
      </w:r>
      <w:r w:rsidR="000177EF">
        <w:rPr>
          <w:rFonts w:cs="Times New Roman"/>
          <w:szCs w:val="22"/>
        </w:rPr>
        <w:t>l</w:t>
      </w:r>
      <w:r w:rsidR="00E74EAE" w:rsidRPr="00E74EAE">
        <w:rPr>
          <w:rFonts w:cs="Times New Roman"/>
          <w:szCs w:val="22"/>
        </w:rPr>
        <w:t xml:space="preserve"> 47.2% (Q237.2 millones) y, las erogaciones destinadas a la Protección del medio </w:t>
      </w:r>
      <w:r w:rsidR="00834497" w:rsidRPr="00E74EAE">
        <w:rPr>
          <w:rFonts w:cs="Times New Roman"/>
          <w:szCs w:val="22"/>
        </w:rPr>
        <w:t>ambiente</w:t>
      </w:r>
      <w:r w:rsidR="00E74EAE" w:rsidRPr="00E74EAE">
        <w:rPr>
          <w:rFonts w:cs="Times New Roman"/>
          <w:szCs w:val="22"/>
        </w:rPr>
        <w:t xml:space="preserve"> </w:t>
      </w:r>
      <w:r w:rsidR="00612C02">
        <w:rPr>
          <w:rFonts w:cs="Times New Roman"/>
          <w:szCs w:val="22"/>
        </w:rPr>
        <w:t xml:space="preserve">fueron </w:t>
      </w:r>
      <w:r w:rsidR="000C52BC">
        <w:rPr>
          <w:rFonts w:cs="Times New Roman"/>
          <w:szCs w:val="22"/>
        </w:rPr>
        <w:t>Q</w:t>
      </w:r>
      <w:r w:rsidR="000C52BC" w:rsidRPr="000C52BC">
        <w:rPr>
          <w:rFonts w:cs="Times New Roman"/>
          <w:szCs w:val="22"/>
        </w:rPr>
        <w:t xml:space="preserve">621.1 </w:t>
      </w:r>
      <w:r w:rsidR="000C52BC">
        <w:rPr>
          <w:rFonts w:cs="Times New Roman"/>
          <w:szCs w:val="22"/>
        </w:rPr>
        <w:t xml:space="preserve">millones </w:t>
      </w:r>
      <w:r w:rsidR="00E74EAE" w:rsidRPr="00E74EAE">
        <w:rPr>
          <w:rFonts w:cs="Times New Roman"/>
          <w:szCs w:val="22"/>
        </w:rPr>
        <w:t>crecie</w:t>
      </w:r>
      <w:r w:rsidR="000C52BC">
        <w:rPr>
          <w:rFonts w:cs="Times New Roman"/>
          <w:szCs w:val="22"/>
        </w:rPr>
        <w:t>ndo</w:t>
      </w:r>
      <w:r w:rsidR="00E74EAE" w:rsidRPr="00E74EAE">
        <w:rPr>
          <w:rFonts w:cs="Times New Roman"/>
          <w:szCs w:val="22"/>
        </w:rPr>
        <w:t xml:space="preserve"> en 21.1% (Q108.3 millones).</w:t>
      </w:r>
    </w:p>
    <w:p w14:paraId="43606119" w14:textId="77777777" w:rsidR="000A7603" w:rsidRDefault="000A7603" w:rsidP="00E74EAE">
      <w:pPr>
        <w:rPr>
          <w:rFonts w:cs="Times New Roman"/>
          <w:szCs w:val="22"/>
        </w:rPr>
      </w:pPr>
    </w:p>
    <w:p w14:paraId="07EF79C4" w14:textId="0603E8CF" w:rsidR="000A7603" w:rsidRDefault="00DF1070" w:rsidP="000A7603">
      <w:pPr>
        <w:rPr>
          <w:rFonts w:cs="Times New Roman"/>
        </w:rPr>
      </w:pPr>
      <w:r>
        <w:rPr>
          <w:rFonts w:cs="Times New Roman"/>
        </w:rPr>
        <w:t xml:space="preserve">En cuanto a </w:t>
      </w:r>
      <w:r w:rsidR="000A7603">
        <w:rPr>
          <w:rFonts w:cs="Times New Roman"/>
        </w:rPr>
        <w:t>l</w:t>
      </w:r>
      <w:r w:rsidR="000A7603" w:rsidRPr="003A7E35">
        <w:rPr>
          <w:rFonts w:cs="Times New Roman"/>
        </w:rPr>
        <w:t>as erogaciones</w:t>
      </w:r>
      <w:r w:rsidR="000A7603">
        <w:rPr>
          <w:rFonts w:cs="Times New Roman"/>
        </w:rPr>
        <w:t xml:space="preserve"> destinadas a Defensa</w:t>
      </w:r>
      <w:r>
        <w:rPr>
          <w:rFonts w:cs="Times New Roman"/>
        </w:rPr>
        <w:t xml:space="preserve"> tuvo una ejecución </w:t>
      </w:r>
      <w:r w:rsidR="00D81153">
        <w:rPr>
          <w:rFonts w:cs="Times New Roman"/>
        </w:rPr>
        <w:t>de Q907.1 millones</w:t>
      </w:r>
      <w:r w:rsidR="000A7603">
        <w:rPr>
          <w:rFonts w:cs="Times New Roman"/>
        </w:rPr>
        <w:t xml:space="preserve"> mostra</w:t>
      </w:r>
      <w:r w:rsidR="00D81153">
        <w:rPr>
          <w:rFonts w:cs="Times New Roman"/>
        </w:rPr>
        <w:t>ndo</w:t>
      </w:r>
      <w:r w:rsidR="000A7603">
        <w:rPr>
          <w:rFonts w:cs="Times New Roman"/>
        </w:rPr>
        <w:t xml:space="preserve"> disminución interanual del 12.4% (Q127.9 millones) y, las erogaciones por de Salud, se situaron en Q4,512.0 millones con variación negativa de 7.6% (Q373.0 millones)</w:t>
      </w:r>
      <w:r w:rsidR="004B43FA">
        <w:rPr>
          <w:rFonts w:cs="Times New Roman"/>
        </w:rPr>
        <w:t>.</w:t>
      </w:r>
    </w:p>
    <w:p w14:paraId="351BDBB3" w14:textId="64B5C1EA" w:rsidR="006B6ABD" w:rsidRDefault="006B6ABD" w:rsidP="00E74EAE">
      <w:pPr>
        <w:rPr>
          <w:rFonts w:cs="Times New Roman"/>
        </w:rPr>
      </w:pPr>
    </w:p>
    <w:p w14:paraId="75A44C38" w14:textId="68D1CE85" w:rsidR="00513B56" w:rsidRDefault="00CB5A9E" w:rsidP="00C56688">
      <w:pPr>
        <w:pStyle w:val="Ttulo2"/>
        <w:numPr>
          <w:ilvl w:val="1"/>
          <w:numId w:val="12"/>
        </w:numPr>
        <w:tabs>
          <w:tab w:val="left" w:pos="426"/>
        </w:tabs>
        <w:spacing w:before="0"/>
        <w:rPr>
          <w:rFonts w:ascii="Times New Roman" w:hAnsi="Times New Roman" w:cs="Times New Roman"/>
          <w:color w:val="auto"/>
          <w:sz w:val="24"/>
        </w:rPr>
      </w:pPr>
      <w:bookmarkStart w:id="1456" w:name="_Toc141430944"/>
      <w:r>
        <w:rPr>
          <w:rFonts w:ascii="Times New Roman" w:hAnsi="Times New Roman" w:cs="Times New Roman"/>
          <w:color w:val="auto"/>
          <w:sz w:val="24"/>
        </w:rPr>
        <w:t>Ejecución institucional</w:t>
      </w:r>
      <w:bookmarkEnd w:id="1456"/>
    </w:p>
    <w:p w14:paraId="7E2A419E" w14:textId="53ECA25A" w:rsidR="004B43FA" w:rsidRPr="004B43FA" w:rsidRDefault="008E0437" w:rsidP="004B43FA">
      <w:r w:rsidRPr="00FC4688">
        <w:rPr>
          <w:rFonts w:cs="Times New Roman"/>
          <w:noProof/>
          <w:sz w:val="18"/>
          <w:szCs w:val="18"/>
          <w:lang w:eastAsia="es-GT"/>
        </w:rPr>
        <w:drawing>
          <wp:anchor distT="0" distB="0" distL="114300" distR="114300" simplePos="0" relativeHeight="251679748" behindDoc="0" locked="0" layoutInCell="1" allowOverlap="1" wp14:anchorId="25D3AFC9" wp14:editId="50CCD281">
            <wp:simplePos x="0" y="0"/>
            <wp:positionH relativeFrom="margin">
              <wp:posOffset>3563620</wp:posOffset>
            </wp:positionH>
            <wp:positionV relativeFrom="page">
              <wp:posOffset>3676650</wp:posOffset>
            </wp:positionV>
            <wp:extent cx="2360295" cy="5270500"/>
            <wp:effectExtent l="0" t="0" r="1905" b="6350"/>
            <wp:wrapSquare wrapText="bothSides"/>
            <wp:docPr id="3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271733F1" w14:textId="1A444251" w:rsidR="00001437" w:rsidRDefault="00001437" w:rsidP="00001437">
      <w:pPr>
        <w:pStyle w:val="Sinespaciado"/>
        <w:jc w:val="both"/>
        <w:rPr>
          <w:rFonts w:ascii="Times New Roman" w:hAnsi="Times New Roman" w:cs="Times New Roman"/>
        </w:rPr>
      </w:pPr>
      <w:r>
        <w:rPr>
          <w:rFonts w:ascii="Times New Roman" w:hAnsi="Times New Roman" w:cs="Times New Roman"/>
        </w:rPr>
        <w:t xml:space="preserve">A nivel del gasto público por entidades, las que muestran el mayor nivel de ejecución son: </w:t>
      </w:r>
      <w:r w:rsidRPr="00604563">
        <w:rPr>
          <w:rFonts w:ascii="Times New Roman" w:hAnsi="Times New Roman" w:cs="Times New Roman"/>
        </w:rPr>
        <w:t>Energía y Minas (</w:t>
      </w:r>
      <w:r>
        <w:rPr>
          <w:rFonts w:ascii="Times New Roman" w:hAnsi="Times New Roman" w:cs="Times New Roman"/>
        </w:rPr>
        <w:t>81</w:t>
      </w:r>
      <w:r w:rsidRPr="00604563">
        <w:rPr>
          <w:rFonts w:ascii="Times New Roman" w:hAnsi="Times New Roman" w:cs="Times New Roman"/>
        </w:rPr>
        <w:t>.</w:t>
      </w:r>
      <w:r>
        <w:rPr>
          <w:rFonts w:ascii="Times New Roman" w:hAnsi="Times New Roman" w:cs="Times New Roman"/>
        </w:rPr>
        <w:t>4</w:t>
      </w:r>
      <w:r w:rsidRPr="00604563">
        <w:rPr>
          <w:rFonts w:ascii="Times New Roman" w:hAnsi="Times New Roman" w:cs="Times New Roman"/>
        </w:rPr>
        <w:t>%),</w:t>
      </w:r>
      <w:r>
        <w:rPr>
          <w:rFonts w:ascii="Times New Roman" w:hAnsi="Times New Roman" w:cs="Times New Roman"/>
        </w:rPr>
        <w:t xml:space="preserve"> Comunicaciones (69.5%), Cultura y Deportes (51.8%), Deuda Pública (48.5%), Agricultura (48.4%), Educación (47.8%), PGN (46.7%) y Presidencia (46.6%), </w:t>
      </w:r>
      <w:r w:rsidRPr="002C3760">
        <w:rPr>
          <w:rFonts w:ascii="Times New Roman" w:hAnsi="Times New Roman" w:cs="Times New Roman"/>
        </w:rPr>
        <w:t>todas estas entidades se encuentran por arriba de la ejecución institucional total (</w:t>
      </w:r>
      <w:r>
        <w:rPr>
          <w:rFonts w:ascii="Times New Roman" w:hAnsi="Times New Roman" w:cs="Times New Roman"/>
        </w:rPr>
        <w:t>46</w:t>
      </w:r>
      <w:r w:rsidRPr="002C3760">
        <w:rPr>
          <w:rFonts w:ascii="Times New Roman" w:hAnsi="Times New Roman" w:cs="Times New Roman"/>
        </w:rPr>
        <w:t>.</w:t>
      </w:r>
      <w:r>
        <w:rPr>
          <w:rFonts w:ascii="Times New Roman" w:hAnsi="Times New Roman" w:cs="Times New Roman"/>
        </w:rPr>
        <w:t>4</w:t>
      </w:r>
      <w:r w:rsidRPr="002C3760">
        <w:rPr>
          <w:rFonts w:ascii="Times New Roman" w:hAnsi="Times New Roman" w:cs="Times New Roman"/>
        </w:rPr>
        <w:t>%).</w:t>
      </w:r>
    </w:p>
    <w:p w14:paraId="403066CA" w14:textId="77777777" w:rsidR="00001437" w:rsidRDefault="00001437" w:rsidP="00001437">
      <w:pPr>
        <w:pStyle w:val="Sinespaciado"/>
        <w:jc w:val="both"/>
        <w:rPr>
          <w:rFonts w:ascii="Times New Roman" w:hAnsi="Times New Roman" w:cs="Times New Roman"/>
        </w:rPr>
      </w:pPr>
    </w:p>
    <w:p w14:paraId="1BE41CBD" w14:textId="77777777" w:rsidR="00001437" w:rsidRDefault="00001437" w:rsidP="00001437">
      <w:pPr>
        <w:pStyle w:val="Sinespaciado"/>
        <w:jc w:val="both"/>
        <w:rPr>
          <w:rFonts w:ascii="Times New Roman" w:hAnsi="Times New Roman" w:cs="Times New Roman"/>
        </w:rPr>
      </w:pPr>
      <w:r>
        <w:rPr>
          <w:rFonts w:ascii="Times New Roman" w:hAnsi="Times New Roman" w:cs="Times New Roman"/>
        </w:rPr>
        <w:t xml:space="preserve">El resto de las entidades se encuentra por debajo de la ejecución institucional total. Resalta el Ministerio de Ambiente y Recursos con una ejecución de 28.9%, estando muy por debajo de la ejecución promedio.  </w:t>
      </w:r>
    </w:p>
    <w:p w14:paraId="192F51D5" w14:textId="77777777" w:rsidR="00001437" w:rsidRDefault="00001437" w:rsidP="00001437">
      <w:pPr>
        <w:pStyle w:val="Sinespaciado"/>
        <w:jc w:val="both"/>
        <w:rPr>
          <w:rFonts w:ascii="Times New Roman" w:hAnsi="Times New Roman" w:cs="Times New Roman"/>
        </w:rPr>
      </w:pPr>
    </w:p>
    <w:p w14:paraId="476323AF" w14:textId="77777777" w:rsidR="00001437" w:rsidRPr="0016607D" w:rsidRDefault="00001437" w:rsidP="00001437">
      <w:pPr>
        <w:pStyle w:val="Sinespaciado"/>
        <w:jc w:val="both"/>
        <w:rPr>
          <w:rFonts w:ascii="Times New Roman" w:hAnsi="Times New Roman" w:cs="Times New Roman"/>
          <w:lang w:val="es-MX"/>
        </w:rPr>
      </w:pPr>
      <w:r w:rsidRPr="0016607D">
        <w:rPr>
          <w:rFonts w:ascii="Times New Roman" w:hAnsi="Times New Roman" w:cs="Times New Roman"/>
          <w:lang w:val="es-MX"/>
        </w:rPr>
        <w:t xml:space="preserve">El Ministerio de Energía y Minas reporta el mayor nivel de ejecución asociado al subsidio al gas propano </w:t>
      </w:r>
      <w:r>
        <w:rPr>
          <w:rFonts w:ascii="Times New Roman" w:hAnsi="Times New Roman" w:cs="Times New Roman"/>
          <w:lang w:val="es-MX"/>
        </w:rPr>
        <w:t>que ya concluyó y</w:t>
      </w:r>
      <w:r w:rsidRPr="0016607D">
        <w:rPr>
          <w:rFonts w:ascii="Times New Roman" w:hAnsi="Times New Roman" w:cs="Times New Roman"/>
          <w:lang w:val="es-MX"/>
        </w:rPr>
        <w:t xml:space="preserve"> </w:t>
      </w:r>
      <w:r>
        <w:rPr>
          <w:rFonts w:ascii="Times New Roman" w:hAnsi="Times New Roman" w:cs="Times New Roman"/>
          <w:lang w:val="es-MX"/>
        </w:rPr>
        <w:t xml:space="preserve">este </w:t>
      </w:r>
      <w:r w:rsidRPr="0016607D">
        <w:rPr>
          <w:rFonts w:ascii="Times New Roman" w:hAnsi="Times New Roman" w:cs="Times New Roman"/>
          <w:lang w:val="es-MX"/>
        </w:rPr>
        <w:t xml:space="preserve">representa una </w:t>
      </w:r>
      <w:r>
        <w:rPr>
          <w:rFonts w:ascii="Times New Roman" w:hAnsi="Times New Roman" w:cs="Times New Roman"/>
          <w:lang w:val="es-MX"/>
        </w:rPr>
        <w:t>proporción</w:t>
      </w:r>
      <w:r w:rsidRPr="0016607D">
        <w:rPr>
          <w:rFonts w:ascii="Times New Roman" w:hAnsi="Times New Roman" w:cs="Times New Roman"/>
          <w:lang w:val="es-MX"/>
        </w:rPr>
        <w:t xml:space="preserve"> importante de su presupuesto</w:t>
      </w:r>
      <w:r>
        <w:rPr>
          <w:rFonts w:ascii="Times New Roman" w:hAnsi="Times New Roman" w:cs="Times New Roman"/>
          <w:lang w:val="es-MX"/>
        </w:rPr>
        <w:t>, finalizando con una ejecución de 96.3%.</w:t>
      </w:r>
    </w:p>
    <w:p w14:paraId="415CB91B" w14:textId="77777777" w:rsidR="00001437" w:rsidRDefault="00001437" w:rsidP="00001437">
      <w:pPr>
        <w:pStyle w:val="Sinespaciado"/>
        <w:jc w:val="both"/>
        <w:rPr>
          <w:rFonts w:ascii="Times New Roman" w:hAnsi="Times New Roman" w:cs="Times New Roman"/>
        </w:rPr>
      </w:pPr>
    </w:p>
    <w:p w14:paraId="1D36140E" w14:textId="77777777" w:rsidR="00001437" w:rsidRDefault="00001437" w:rsidP="00001437">
      <w:pPr>
        <w:pStyle w:val="Sinespaciado"/>
        <w:jc w:val="both"/>
        <w:rPr>
          <w:rFonts w:ascii="Times New Roman" w:hAnsi="Times New Roman" w:cs="Times New Roman"/>
        </w:rPr>
      </w:pPr>
      <w:r>
        <w:rPr>
          <w:rFonts w:ascii="Times New Roman" w:hAnsi="Times New Roman" w:cs="Times New Roman"/>
        </w:rPr>
        <w:t xml:space="preserve">En cuanto al Ministerio de Desarrollo Social tuvo una ampliación de su presupuesto por Q300 millones para cubrir los pagos establecidos en la Ley Temporal de Desarrollo Integral Decreto número 51-2022, cuyo objetivo es la implementación y ejecución de proyectos ambientales y de desarrollo integral con la participación de la tropa que prestó servicio militar durante el conflicto armado interno. Hasta la fecha, dicho programa cuenta con una ejecución de Q107.1 millones. </w:t>
      </w:r>
    </w:p>
    <w:p w14:paraId="3EAC2F5C" w14:textId="77777777" w:rsidR="00001437" w:rsidRDefault="00001437" w:rsidP="00001437">
      <w:pPr>
        <w:pStyle w:val="Sinespaciado"/>
        <w:jc w:val="both"/>
        <w:rPr>
          <w:rFonts w:ascii="Times New Roman" w:hAnsi="Times New Roman" w:cs="Times New Roman"/>
        </w:rPr>
      </w:pPr>
    </w:p>
    <w:p w14:paraId="6EA1A0D4" w14:textId="77777777" w:rsidR="00001437" w:rsidRDefault="00001437" w:rsidP="00001437">
      <w:pPr>
        <w:pStyle w:val="Sinespaciado"/>
        <w:jc w:val="both"/>
        <w:rPr>
          <w:rFonts w:ascii="Times New Roman" w:hAnsi="Times New Roman" w:cs="Times New Roman"/>
        </w:rPr>
      </w:pPr>
      <w:r w:rsidRPr="00BD3619">
        <w:rPr>
          <w:rFonts w:ascii="Times New Roman" w:hAnsi="Times New Roman" w:cs="Times New Roman"/>
        </w:rPr>
        <w:t>El Ministerio de Desarrollo Social (Mides) c</w:t>
      </w:r>
      <w:r>
        <w:rPr>
          <w:rFonts w:ascii="Times New Roman" w:hAnsi="Times New Roman" w:cs="Times New Roman"/>
        </w:rPr>
        <w:t xml:space="preserve">ontabilizó aproximadamente </w:t>
      </w:r>
      <w:r w:rsidRPr="00BD3619">
        <w:rPr>
          <w:rFonts w:ascii="Times New Roman" w:hAnsi="Times New Roman" w:cs="Times New Roman"/>
        </w:rPr>
        <w:t>45 mil excombatientes inscritos en el programa</w:t>
      </w:r>
      <w:r>
        <w:rPr>
          <w:rFonts w:ascii="Times New Roman" w:hAnsi="Times New Roman" w:cs="Times New Roman"/>
        </w:rPr>
        <w:t>, a los cuales se</w:t>
      </w:r>
      <w:r w:rsidRPr="00BD3619">
        <w:rPr>
          <w:rFonts w:ascii="Times New Roman" w:hAnsi="Times New Roman" w:cs="Times New Roman"/>
        </w:rPr>
        <w:t xml:space="preserve"> les dará Q36 mil</w:t>
      </w:r>
      <w:r>
        <w:rPr>
          <w:rFonts w:ascii="Times New Roman" w:hAnsi="Times New Roman" w:cs="Times New Roman"/>
        </w:rPr>
        <w:t xml:space="preserve"> en 3 años</w:t>
      </w:r>
      <w:r w:rsidRPr="00BD3619">
        <w:rPr>
          <w:rFonts w:ascii="Times New Roman" w:hAnsi="Times New Roman" w:cs="Times New Roman"/>
        </w:rPr>
        <w:t>, según</w:t>
      </w:r>
      <w:r>
        <w:rPr>
          <w:rFonts w:ascii="Times New Roman" w:hAnsi="Times New Roman" w:cs="Times New Roman"/>
        </w:rPr>
        <w:t xml:space="preserve"> lo establecido en la le</w:t>
      </w:r>
      <w:r w:rsidRPr="00BD3619">
        <w:rPr>
          <w:rFonts w:ascii="Times New Roman" w:hAnsi="Times New Roman" w:cs="Times New Roman"/>
        </w:rPr>
        <w:t>y</w:t>
      </w:r>
      <w:r>
        <w:rPr>
          <w:rFonts w:ascii="Times New Roman" w:hAnsi="Times New Roman" w:cs="Times New Roman"/>
        </w:rPr>
        <w:t>.</w:t>
      </w:r>
    </w:p>
    <w:p w14:paraId="49A3DF00" w14:textId="77777777" w:rsidR="00001437" w:rsidRDefault="00001437" w:rsidP="00001437">
      <w:pPr>
        <w:pStyle w:val="Sinespaciado"/>
        <w:jc w:val="both"/>
        <w:rPr>
          <w:rFonts w:ascii="Times New Roman" w:hAnsi="Times New Roman" w:cs="Times New Roman"/>
        </w:rPr>
      </w:pPr>
    </w:p>
    <w:p w14:paraId="2EAED1C0" w14:textId="77777777" w:rsidR="00001437" w:rsidRDefault="00001437" w:rsidP="00001437">
      <w:pPr>
        <w:pStyle w:val="Sinespaciado"/>
        <w:jc w:val="both"/>
        <w:rPr>
          <w:rFonts w:ascii="Times New Roman" w:hAnsi="Times New Roman" w:cs="Times New Roman"/>
        </w:rPr>
      </w:pPr>
      <w:r>
        <w:rPr>
          <w:rFonts w:ascii="Times New Roman" w:hAnsi="Times New Roman" w:cs="Times New Roman"/>
        </w:rPr>
        <w:t>Es destacable el alto nivel de ejecución en el Ministerio de Cultura y Deportes, dado que por lo general esta entidad ha reportado niveles de ejecución modestos, al evaluar la ejecución resalta el dinamismo en la construcción, ampliación y mejoramiento de instalaciones deportivas y recreativas, así como en los servicios de administración y protección de parques, sitios arqueológicos y zonas de rescate cultural y natural.</w:t>
      </w:r>
    </w:p>
    <w:p w14:paraId="03B188EC" w14:textId="77777777" w:rsidR="00001437" w:rsidRDefault="00001437" w:rsidP="00001437">
      <w:pPr>
        <w:pStyle w:val="Sinespaciado"/>
        <w:jc w:val="both"/>
        <w:rPr>
          <w:rFonts w:ascii="Times New Roman" w:hAnsi="Times New Roman" w:cs="Times New Roman"/>
        </w:rPr>
      </w:pPr>
    </w:p>
    <w:p w14:paraId="4CDE74DD" w14:textId="77777777" w:rsidR="00001437" w:rsidRPr="00995D7B" w:rsidRDefault="00001437" w:rsidP="00001437">
      <w:pPr>
        <w:pStyle w:val="Sinespaciado"/>
        <w:jc w:val="both"/>
        <w:rPr>
          <w:rFonts w:ascii="Times New Roman" w:hAnsi="Times New Roman" w:cs="Times New Roman"/>
        </w:rPr>
      </w:pPr>
      <w:r w:rsidRPr="00995D7B">
        <w:rPr>
          <w:rFonts w:ascii="Times New Roman" w:hAnsi="Times New Roman" w:cs="Times New Roman"/>
        </w:rPr>
        <w:t xml:space="preserve">En el Ministerio de Trabajo, es importante comentar que </w:t>
      </w:r>
      <w:r>
        <w:rPr>
          <w:rFonts w:ascii="Times New Roman" w:hAnsi="Times New Roman" w:cs="Times New Roman"/>
        </w:rPr>
        <w:t>s</w:t>
      </w:r>
      <w:r w:rsidRPr="00995D7B">
        <w:rPr>
          <w:rFonts w:ascii="Times New Roman" w:hAnsi="Times New Roman" w:cs="Times New Roman"/>
        </w:rPr>
        <w:t>e ampl</w:t>
      </w:r>
      <w:r>
        <w:rPr>
          <w:rFonts w:ascii="Times New Roman" w:hAnsi="Times New Roman" w:cs="Times New Roman"/>
        </w:rPr>
        <w:t>ió</w:t>
      </w:r>
      <w:r w:rsidRPr="00995D7B">
        <w:rPr>
          <w:rFonts w:ascii="Times New Roman" w:hAnsi="Times New Roman" w:cs="Times New Roman"/>
        </w:rPr>
        <w:t xml:space="preserve"> el techo presupuestario, para fortalecer el programa de Aporte Económico al Adulto Mayor. Este fue aprobado por medio del Decreto número 10-2023 “Ampliación del Programa de Aporte Económico al Adulto Mayor” viabilizando el traslado de recursos financieros no utilizados </w:t>
      </w:r>
      <w:r>
        <w:rPr>
          <w:rFonts w:ascii="Times New Roman" w:hAnsi="Times New Roman" w:cs="Times New Roman"/>
        </w:rPr>
        <w:t>de</w:t>
      </w:r>
      <w:r w:rsidRPr="00995D7B">
        <w:rPr>
          <w:rFonts w:ascii="Times New Roman" w:hAnsi="Times New Roman" w:cs="Times New Roman"/>
        </w:rPr>
        <w:t xml:space="preserve"> la atención de la pandemia COVID-19, para el fortalecimiento de dicho programa.</w:t>
      </w:r>
    </w:p>
    <w:p w14:paraId="0D3625CB" w14:textId="77777777" w:rsidR="00001437" w:rsidRPr="00995D7B" w:rsidRDefault="00001437" w:rsidP="00001437">
      <w:pPr>
        <w:pStyle w:val="Sinespaciado"/>
        <w:jc w:val="both"/>
        <w:rPr>
          <w:rFonts w:ascii="Times New Roman" w:hAnsi="Times New Roman" w:cs="Times New Roman"/>
        </w:rPr>
      </w:pPr>
    </w:p>
    <w:p w14:paraId="7154989C" w14:textId="77777777" w:rsidR="00001437" w:rsidRDefault="00001437" w:rsidP="00001437">
      <w:pPr>
        <w:pStyle w:val="Sinespaciado"/>
        <w:jc w:val="both"/>
        <w:rPr>
          <w:rFonts w:ascii="Times New Roman" w:hAnsi="Times New Roman" w:cs="Times New Roman"/>
        </w:rPr>
      </w:pPr>
      <w:r w:rsidRPr="00995D7B">
        <w:rPr>
          <w:rFonts w:ascii="Times New Roman" w:hAnsi="Times New Roman" w:cs="Times New Roman"/>
        </w:rPr>
        <w:t>Adicionalmente, establecería la adhesión de 65 mil adultos mayores para alcanzar hasta 210 mil beneficiarios en 2023, brindando un apoyo económico, el cual consiste en Q500 mensuales para cada beneficiario.</w:t>
      </w:r>
      <w:r>
        <w:rPr>
          <w:rFonts w:ascii="Times New Roman" w:hAnsi="Times New Roman" w:cs="Times New Roman"/>
        </w:rPr>
        <w:t xml:space="preserve"> De esa cuenta, se observa una baja ejecución en el Ministerio de Trabajo, la cual podría dinamizarse en los próximos meses.</w:t>
      </w:r>
    </w:p>
    <w:p w14:paraId="556F9DE5" w14:textId="77777777" w:rsidR="00001437" w:rsidRDefault="00001437" w:rsidP="00001437">
      <w:pPr>
        <w:pStyle w:val="Sinespaciado"/>
        <w:jc w:val="both"/>
        <w:rPr>
          <w:rFonts w:ascii="Times New Roman" w:hAnsi="Times New Roman" w:cs="Times New Roman"/>
        </w:rPr>
      </w:pPr>
    </w:p>
    <w:p w14:paraId="36093288" w14:textId="77777777" w:rsidR="00001437" w:rsidRDefault="00001437" w:rsidP="00001437">
      <w:pPr>
        <w:pStyle w:val="Sinespaciado"/>
        <w:jc w:val="both"/>
        <w:rPr>
          <w:rFonts w:ascii="Times New Roman" w:hAnsi="Times New Roman" w:cs="Times New Roman"/>
        </w:rPr>
      </w:pPr>
      <w:r>
        <w:rPr>
          <w:rFonts w:ascii="Times New Roman" w:hAnsi="Times New Roman" w:cs="Times New Roman"/>
        </w:rPr>
        <w:t xml:space="preserve">Durante junio se realizó la amortización por el costo de la política monetaria, cambiaria y crediticia por Q54.4 millones, correspondiente al ejercicio fiscal 2021. </w:t>
      </w:r>
    </w:p>
    <w:p w14:paraId="5DE6AF90" w14:textId="77777777" w:rsidR="000F794A" w:rsidRDefault="000F794A" w:rsidP="000F794A">
      <w:pPr>
        <w:pStyle w:val="Prrafodelista"/>
        <w:rPr>
          <w:rFonts w:cs="Times New Roman"/>
        </w:rPr>
      </w:pPr>
    </w:p>
    <w:p w14:paraId="63F74DC4" w14:textId="77777777" w:rsidR="00380981" w:rsidRPr="00FC4688" w:rsidRDefault="00C84436" w:rsidP="00C17472">
      <w:pPr>
        <w:pStyle w:val="Prrafodelista"/>
        <w:numPr>
          <w:ilvl w:val="0"/>
          <w:numId w:val="1"/>
        </w:numPr>
        <w:ind w:left="426" w:hanging="426"/>
        <w:outlineLvl w:val="0"/>
        <w:rPr>
          <w:rFonts w:cs="Times New Roman"/>
          <w:b/>
          <w:sz w:val="24"/>
          <w:lang w:val="es-MX"/>
        </w:rPr>
      </w:pPr>
      <w:bookmarkStart w:id="1457" w:name="_Toc141430945"/>
      <w:r w:rsidRPr="00FC4688">
        <w:rPr>
          <w:rFonts w:cs="Times New Roman"/>
          <w:b/>
          <w:sz w:val="24"/>
          <w:lang w:val="es-MX"/>
        </w:rPr>
        <w:t>Resultado Fiscal</w:t>
      </w:r>
      <w:bookmarkEnd w:id="1457"/>
      <w:r w:rsidRPr="00FC4688">
        <w:rPr>
          <w:rFonts w:cs="Times New Roman"/>
          <w:b/>
          <w:sz w:val="24"/>
          <w:lang w:val="es-MX"/>
        </w:rPr>
        <w:t xml:space="preserve"> </w:t>
      </w:r>
    </w:p>
    <w:p w14:paraId="216F3BF0" w14:textId="77777777" w:rsidR="00C84436" w:rsidRPr="00FC4688" w:rsidRDefault="005F5E9E" w:rsidP="00D319A6">
      <w:pPr>
        <w:rPr>
          <w:rFonts w:eastAsiaTheme="majorEastAsia" w:cs="Times New Roman"/>
          <w:b/>
          <w:bCs/>
          <w:sz w:val="24"/>
          <w:szCs w:val="26"/>
        </w:rPr>
      </w:pPr>
      <w:bookmarkStart w:id="1458" w:name="_Toc42023982"/>
      <w:bookmarkStart w:id="1459" w:name="_Toc42024033"/>
      <w:bookmarkEnd w:id="1458"/>
      <w:bookmarkEnd w:id="1459"/>
      <w:r w:rsidRPr="00FC4688">
        <w:rPr>
          <w:rFonts w:eastAsiaTheme="majorEastAsia"/>
          <w:noProof/>
          <w:lang w:eastAsia="es-GT"/>
        </w:rPr>
        <w:drawing>
          <wp:inline distT="0" distB="0" distL="0" distR="0" wp14:anchorId="53C2D341" wp14:editId="1EF724EF">
            <wp:extent cx="5836920" cy="1854200"/>
            <wp:effectExtent l="76200" t="57150" r="87630" b="10795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bookmarkStart w:id="1460" w:name="_Toc31624513"/>
      <w:bookmarkStart w:id="1461" w:name="_Toc31625365"/>
      <w:bookmarkStart w:id="1462" w:name="_Toc31626820"/>
      <w:bookmarkStart w:id="1463" w:name="_Toc31811271"/>
      <w:bookmarkStart w:id="1464" w:name="_Toc31811725"/>
      <w:bookmarkStart w:id="1465" w:name="_Toc31971888"/>
      <w:bookmarkStart w:id="1466" w:name="_Toc32230910"/>
      <w:bookmarkStart w:id="1467" w:name="_Toc33109798"/>
      <w:bookmarkStart w:id="1468" w:name="_Toc33109840"/>
      <w:bookmarkStart w:id="1469" w:name="_Toc33180561"/>
      <w:bookmarkStart w:id="1470" w:name="_Toc33180655"/>
      <w:bookmarkStart w:id="1471" w:name="_Toc33193552"/>
      <w:bookmarkStart w:id="1472" w:name="_Toc33193591"/>
      <w:bookmarkStart w:id="1473" w:name="_Toc33196788"/>
      <w:bookmarkStart w:id="1474" w:name="_Toc40691764"/>
      <w:bookmarkStart w:id="1475" w:name="_Toc40959164"/>
      <w:bookmarkStart w:id="1476" w:name="_Toc40975998"/>
      <w:bookmarkStart w:id="1477" w:name="_Toc40976067"/>
      <w:bookmarkStart w:id="1478" w:name="_Toc40993323"/>
      <w:bookmarkStart w:id="1479" w:name="_Toc40993705"/>
      <w:bookmarkStart w:id="1480" w:name="_Toc41037581"/>
      <w:bookmarkStart w:id="1481" w:name="_Toc41254141"/>
      <w:bookmarkStart w:id="1482" w:name="_Toc41254173"/>
      <w:bookmarkStart w:id="1483" w:name="_Toc41254193"/>
      <w:bookmarkStart w:id="1484" w:name="_Toc42023983"/>
      <w:bookmarkStart w:id="1485" w:name="_Toc42024034"/>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14:paraId="435B279A" w14:textId="77777777" w:rsidR="00182B79" w:rsidRPr="00FC4688" w:rsidRDefault="00182B79" w:rsidP="00182B79">
      <w:pPr>
        <w:pStyle w:val="Prrafodelista"/>
        <w:keepNext/>
        <w:keepLines/>
        <w:numPr>
          <w:ilvl w:val="0"/>
          <w:numId w:val="43"/>
        </w:numPr>
        <w:spacing w:after="120"/>
        <w:contextualSpacing w:val="0"/>
        <w:outlineLvl w:val="1"/>
        <w:rPr>
          <w:rFonts w:eastAsiaTheme="majorEastAsia" w:cs="Times New Roman"/>
          <w:b/>
          <w:bCs/>
          <w:vanish/>
          <w:sz w:val="24"/>
          <w:szCs w:val="26"/>
          <w:lang w:eastAsia="es-ES"/>
        </w:rPr>
      </w:pPr>
      <w:bookmarkStart w:id="1486" w:name="_Toc42069123"/>
      <w:bookmarkStart w:id="1487" w:name="_Toc49422069"/>
      <w:bookmarkStart w:id="1488" w:name="_Toc49422095"/>
      <w:bookmarkStart w:id="1489" w:name="_Toc49430674"/>
      <w:bookmarkStart w:id="1490" w:name="_Toc49430700"/>
      <w:bookmarkStart w:id="1491" w:name="_Toc49750477"/>
      <w:bookmarkStart w:id="1492" w:name="_Toc49750727"/>
      <w:bookmarkStart w:id="1493" w:name="_Toc49750755"/>
      <w:bookmarkStart w:id="1494" w:name="_Toc55284841"/>
      <w:bookmarkStart w:id="1495" w:name="_Toc55298859"/>
      <w:bookmarkStart w:id="1496" w:name="_Toc55373842"/>
      <w:bookmarkStart w:id="1497" w:name="_Toc55374018"/>
      <w:bookmarkStart w:id="1498" w:name="_Toc55375155"/>
      <w:bookmarkStart w:id="1499" w:name="_Toc55396563"/>
      <w:bookmarkStart w:id="1500" w:name="_Toc65230560"/>
      <w:bookmarkStart w:id="1501" w:name="_Toc65230798"/>
      <w:bookmarkStart w:id="1502" w:name="_Toc65232082"/>
      <w:bookmarkStart w:id="1503" w:name="_Toc65232327"/>
      <w:bookmarkStart w:id="1504" w:name="_Toc66716186"/>
      <w:bookmarkStart w:id="1505" w:name="_Toc71097230"/>
      <w:bookmarkStart w:id="1506" w:name="_Toc71097261"/>
      <w:bookmarkStart w:id="1507" w:name="_Toc71097336"/>
      <w:bookmarkStart w:id="1508" w:name="_Toc71108076"/>
      <w:bookmarkStart w:id="1509" w:name="_Toc79055270"/>
      <w:bookmarkStart w:id="1510" w:name="_Toc79055301"/>
      <w:bookmarkStart w:id="1511" w:name="_Toc79060192"/>
      <w:bookmarkStart w:id="1512" w:name="_Toc79060479"/>
      <w:bookmarkStart w:id="1513" w:name="_Toc81307836"/>
      <w:bookmarkStart w:id="1514" w:name="_Toc83376497"/>
      <w:bookmarkStart w:id="1515" w:name="_Toc86386736"/>
      <w:bookmarkStart w:id="1516" w:name="_Toc86405422"/>
      <w:bookmarkStart w:id="1517" w:name="_Toc98162452"/>
      <w:bookmarkStart w:id="1518" w:name="_Toc98162484"/>
      <w:bookmarkStart w:id="1519" w:name="_Toc98235010"/>
      <w:bookmarkStart w:id="1520" w:name="_Toc98235205"/>
      <w:bookmarkStart w:id="1521" w:name="_Toc98235290"/>
      <w:bookmarkStart w:id="1522" w:name="_Toc98757160"/>
      <w:bookmarkStart w:id="1523" w:name="_Toc101874715"/>
      <w:bookmarkStart w:id="1524" w:name="_Toc101954171"/>
      <w:bookmarkStart w:id="1525" w:name="_Toc101971988"/>
      <w:bookmarkStart w:id="1526" w:name="_Toc101974080"/>
      <w:bookmarkStart w:id="1527" w:name="_Toc102039765"/>
      <w:bookmarkStart w:id="1528" w:name="_Toc102039803"/>
      <w:bookmarkStart w:id="1529" w:name="_Toc102039843"/>
      <w:bookmarkStart w:id="1530" w:name="_Toc102039874"/>
      <w:bookmarkStart w:id="1531" w:name="_Toc102040932"/>
      <w:bookmarkStart w:id="1532" w:name="_Toc102477780"/>
      <w:bookmarkStart w:id="1533" w:name="_Toc102477811"/>
      <w:bookmarkStart w:id="1534" w:name="_Toc109824841"/>
      <w:bookmarkStart w:id="1535" w:name="_Toc109828797"/>
      <w:bookmarkStart w:id="1536" w:name="_Toc109828860"/>
      <w:bookmarkStart w:id="1537" w:name="_Toc109829036"/>
      <w:bookmarkStart w:id="1538" w:name="_Toc109829067"/>
      <w:bookmarkStart w:id="1539" w:name="_Toc109833911"/>
      <w:bookmarkStart w:id="1540" w:name="_Toc110237454"/>
      <w:bookmarkStart w:id="1541" w:name="_Toc117775331"/>
      <w:bookmarkStart w:id="1542" w:name="_Toc117781300"/>
      <w:bookmarkStart w:id="1543" w:name="_Toc125620828"/>
      <w:bookmarkStart w:id="1544" w:name="_Toc125620859"/>
      <w:bookmarkStart w:id="1545" w:name="_Toc125620890"/>
      <w:bookmarkStart w:id="1546" w:name="_Toc125620926"/>
      <w:bookmarkStart w:id="1547" w:name="_Toc125620957"/>
      <w:bookmarkStart w:id="1548" w:name="_Toc125620991"/>
      <w:bookmarkStart w:id="1549" w:name="_Toc125621044"/>
      <w:bookmarkStart w:id="1550" w:name="_Toc125621098"/>
      <w:bookmarkStart w:id="1551" w:name="_Toc125623576"/>
      <w:bookmarkStart w:id="1552" w:name="_Toc125623608"/>
      <w:bookmarkStart w:id="1553" w:name="_Toc125623640"/>
      <w:bookmarkStart w:id="1554" w:name="_Toc125970386"/>
      <w:bookmarkStart w:id="1555" w:name="_Toc125970418"/>
      <w:bookmarkStart w:id="1556" w:name="_Toc127365869"/>
      <w:bookmarkStart w:id="1557" w:name="_Toc127434620"/>
      <w:bookmarkStart w:id="1558" w:name="_Toc127436988"/>
      <w:bookmarkStart w:id="1559" w:name="_Toc127437349"/>
      <w:bookmarkStart w:id="1560" w:name="_Toc127437704"/>
      <w:bookmarkStart w:id="1561" w:name="_Toc133492798"/>
      <w:bookmarkStart w:id="1562" w:name="_Toc133492995"/>
      <w:bookmarkStart w:id="1563" w:name="_Toc133493217"/>
      <w:bookmarkStart w:id="1564" w:name="_Toc133497851"/>
      <w:bookmarkStart w:id="1565" w:name="_Toc133505571"/>
      <w:bookmarkStart w:id="1566" w:name="_Toc133576149"/>
      <w:bookmarkStart w:id="1567" w:name="_Toc133576221"/>
      <w:bookmarkStart w:id="1568" w:name="_Toc133576254"/>
      <w:bookmarkStart w:id="1569" w:name="_Toc133576286"/>
      <w:bookmarkStart w:id="1570" w:name="_Toc133576318"/>
      <w:bookmarkStart w:id="1571" w:name="_Toc133576350"/>
      <w:bookmarkStart w:id="1572" w:name="_Toc133576403"/>
      <w:bookmarkStart w:id="1573" w:name="_Toc133576437"/>
      <w:bookmarkStart w:id="1574" w:name="_Toc133576470"/>
      <w:bookmarkStart w:id="1575" w:name="_Toc133576503"/>
      <w:bookmarkStart w:id="1576" w:name="_Toc141108762"/>
      <w:bookmarkStart w:id="1577" w:name="_Toc141173003"/>
      <w:bookmarkStart w:id="1578" w:name="_Toc141277700"/>
      <w:bookmarkStart w:id="1579" w:name="_Toc141277732"/>
      <w:bookmarkStart w:id="1580" w:name="_Toc141430946"/>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p>
    <w:p w14:paraId="1B0B0861" w14:textId="7405193D" w:rsidR="00364844" w:rsidRPr="00FC4688" w:rsidRDefault="00BD6585" w:rsidP="00D11ADD">
      <w:pPr>
        <w:pStyle w:val="Ttulo2"/>
        <w:numPr>
          <w:ilvl w:val="1"/>
          <w:numId w:val="43"/>
        </w:numPr>
        <w:tabs>
          <w:tab w:val="left" w:pos="426"/>
        </w:tabs>
        <w:spacing w:before="0"/>
        <w:ind w:left="284" w:hanging="284"/>
        <w:rPr>
          <w:rFonts w:ascii="Times New Roman" w:hAnsi="Times New Roman" w:cs="Times New Roman"/>
          <w:color w:val="auto"/>
          <w:sz w:val="24"/>
        </w:rPr>
      </w:pPr>
      <w:bookmarkStart w:id="1581" w:name="_Toc141430947"/>
      <w:r w:rsidRPr="00FC4688">
        <w:rPr>
          <w:rFonts w:ascii="Times New Roman" w:hAnsi="Times New Roman" w:cs="Times New Roman"/>
          <w:color w:val="auto"/>
          <w:sz w:val="24"/>
        </w:rPr>
        <w:t>R</w:t>
      </w:r>
      <w:r w:rsidR="00540B30" w:rsidRPr="00FC4688">
        <w:rPr>
          <w:rFonts w:ascii="Times New Roman" w:hAnsi="Times New Roman" w:cs="Times New Roman"/>
          <w:color w:val="auto"/>
          <w:sz w:val="24"/>
        </w:rPr>
        <w:t xml:space="preserve">esultado </w:t>
      </w:r>
      <w:r w:rsidR="003C3E6F" w:rsidRPr="00FC4688">
        <w:rPr>
          <w:rFonts w:ascii="Times New Roman" w:hAnsi="Times New Roman" w:cs="Times New Roman"/>
          <w:color w:val="auto"/>
          <w:sz w:val="24"/>
        </w:rPr>
        <w:t>O</w:t>
      </w:r>
      <w:r w:rsidR="00540B30" w:rsidRPr="00FC4688">
        <w:rPr>
          <w:rFonts w:ascii="Times New Roman" w:hAnsi="Times New Roman" w:cs="Times New Roman"/>
          <w:color w:val="auto"/>
          <w:sz w:val="24"/>
        </w:rPr>
        <w:t>perativo</w:t>
      </w:r>
      <w:bookmarkEnd w:id="1581"/>
      <w:r w:rsidR="00EE52DF" w:rsidRPr="00FC4688">
        <w:rPr>
          <w:rFonts w:ascii="Times New Roman" w:hAnsi="Times New Roman" w:cs="Times New Roman"/>
          <w:color w:val="auto"/>
          <w:sz w:val="24"/>
        </w:rPr>
        <w:t xml:space="preserve"> </w:t>
      </w:r>
      <w:bookmarkEnd w:id="721"/>
    </w:p>
    <w:p w14:paraId="7CBBEA87" w14:textId="39449D8F" w:rsidR="00C513A1" w:rsidRPr="00C513A1" w:rsidRDefault="00C513A1" w:rsidP="003B7A54">
      <w:pPr>
        <w:pStyle w:val="Sinespaciado"/>
        <w:jc w:val="both"/>
        <w:rPr>
          <w:rFonts w:ascii="Times New Roman" w:hAnsi="Times New Roman" w:cs="Times New Roman"/>
        </w:rPr>
      </w:pPr>
      <w:r w:rsidRPr="00C513A1">
        <w:rPr>
          <w:rFonts w:ascii="Times New Roman" w:hAnsi="Times New Roman" w:cs="Times New Roman"/>
        </w:rPr>
        <w:t xml:space="preserve">El resultado operativo acumulado al segundo trimestre de 2023 fue negativo por Q2,650.3 millones mientras que, en el mismo periodo del año previo, se observó un resultado positivo por Q239.0 millones, con lo cual se registró </w:t>
      </w:r>
      <w:r w:rsidR="00AE1D1C">
        <w:rPr>
          <w:rFonts w:ascii="Times New Roman" w:hAnsi="Times New Roman" w:cs="Times New Roman"/>
        </w:rPr>
        <w:t xml:space="preserve">una </w:t>
      </w:r>
      <w:r w:rsidRPr="00C513A1">
        <w:rPr>
          <w:rFonts w:ascii="Times New Roman" w:hAnsi="Times New Roman" w:cs="Times New Roman"/>
        </w:rPr>
        <w:t>disminución por Q2,889.3 millones en el resultado operativo del presente año.</w:t>
      </w:r>
    </w:p>
    <w:p w14:paraId="5021439D" w14:textId="77777777" w:rsidR="00C513A1" w:rsidRPr="00C513A1" w:rsidRDefault="00C513A1" w:rsidP="003B7A54">
      <w:pPr>
        <w:pStyle w:val="Sinespaciado"/>
        <w:jc w:val="both"/>
        <w:rPr>
          <w:rFonts w:ascii="Times New Roman" w:hAnsi="Times New Roman" w:cs="Times New Roman"/>
        </w:rPr>
      </w:pPr>
    </w:p>
    <w:p w14:paraId="0C721065" w14:textId="4C841681" w:rsidR="00973029" w:rsidRDefault="00C513A1" w:rsidP="003B7A54">
      <w:pPr>
        <w:pStyle w:val="Sinespaciado"/>
        <w:jc w:val="both"/>
        <w:rPr>
          <w:rFonts w:ascii="Times New Roman" w:hAnsi="Times New Roman" w:cs="Times New Roman"/>
        </w:rPr>
      </w:pPr>
      <w:r w:rsidRPr="00C513A1">
        <w:rPr>
          <w:rFonts w:ascii="Times New Roman" w:hAnsi="Times New Roman" w:cs="Times New Roman"/>
        </w:rPr>
        <w:t xml:space="preserve">Por su parte, el resultado operativo primario, es decir, sin </w:t>
      </w:r>
      <w:r w:rsidR="00D57159">
        <w:rPr>
          <w:rFonts w:ascii="Times New Roman" w:hAnsi="Times New Roman" w:cs="Times New Roman"/>
        </w:rPr>
        <w:t>incluir los</w:t>
      </w:r>
      <w:r w:rsidRPr="00C513A1">
        <w:rPr>
          <w:rFonts w:ascii="Times New Roman" w:hAnsi="Times New Roman" w:cs="Times New Roman"/>
        </w:rPr>
        <w:t xml:space="preserve"> gastos de intereses, fue de Q3,702.9 millones al finalizar junio del presente año, mientras que en el año previo este registró el monto de Q6,047.0 millones, registrando así una disminución interanual de Q2,344.1 millones</w:t>
      </w:r>
      <w:r w:rsidR="00AE1D1C">
        <w:rPr>
          <w:rFonts w:ascii="Times New Roman" w:hAnsi="Times New Roman" w:cs="Times New Roman"/>
        </w:rPr>
        <w:t>.</w:t>
      </w:r>
    </w:p>
    <w:p w14:paraId="51450F09" w14:textId="77777777" w:rsidR="00C513A1" w:rsidRPr="00FC4688" w:rsidRDefault="00C513A1" w:rsidP="00C513A1">
      <w:pPr>
        <w:pStyle w:val="Sinespaciado"/>
        <w:jc w:val="both"/>
        <w:rPr>
          <w:rFonts w:ascii="Times New Roman" w:hAnsi="Times New Roman" w:cs="Times New Roman"/>
        </w:rPr>
      </w:pPr>
    </w:p>
    <w:p w14:paraId="10242320" w14:textId="1445C747" w:rsidR="00374C59" w:rsidRPr="00FC4688" w:rsidRDefault="00B4032C" w:rsidP="00D11ADD">
      <w:pPr>
        <w:pStyle w:val="Ttulo2"/>
        <w:numPr>
          <w:ilvl w:val="1"/>
          <w:numId w:val="43"/>
        </w:numPr>
        <w:tabs>
          <w:tab w:val="left" w:pos="426"/>
        </w:tabs>
        <w:spacing w:before="0"/>
        <w:ind w:left="284" w:hanging="284"/>
        <w:rPr>
          <w:rFonts w:ascii="Times New Roman" w:hAnsi="Times New Roman" w:cs="Times New Roman"/>
          <w:color w:val="auto"/>
          <w:sz w:val="24"/>
        </w:rPr>
      </w:pPr>
      <w:bookmarkStart w:id="1582" w:name="_Toc141430948"/>
      <w:r>
        <w:rPr>
          <w:rFonts w:ascii="Times New Roman" w:hAnsi="Times New Roman" w:cs="Times New Roman"/>
          <w:color w:val="auto"/>
          <w:sz w:val="24"/>
        </w:rPr>
        <w:t>Endeudamiento Neto</w:t>
      </w:r>
      <w:bookmarkEnd w:id="1582"/>
    </w:p>
    <w:p w14:paraId="653162DB" w14:textId="78154CBC" w:rsidR="004911A4" w:rsidRPr="00FC4688" w:rsidRDefault="003B7A54" w:rsidP="003B7A54">
      <w:pPr>
        <w:spacing w:after="200" w:line="276" w:lineRule="auto"/>
        <w:rPr>
          <w:rFonts w:cs="Times New Roman"/>
          <w:b/>
          <w:szCs w:val="22"/>
          <w:lang w:val="es-MX"/>
        </w:rPr>
      </w:pPr>
      <w:r w:rsidRPr="003B7A54">
        <w:rPr>
          <w:rFonts w:eastAsiaTheme="minorHAnsi" w:cs="Times New Roman"/>
          <w:szCs w:val="22"/>
          <w:lang w:eastAsia="en-US"/>
        </w:rPr>
        <w:t>En cuanto al resultado fiscal global del Gobierno Central Presupuestario, se observa un endeudamiento (déficit) de Q5,071.9 millones acumulado al segundo trimestre de 2023, en tanto en el año anterior se observó un endeudamiento por Q1,513.8 millones, lo cual representa un incremento del endeudamiento por Q3,558.1 millones, derivado principalmente al mayor crecimiento en las erogaciones que el crecimiento en los ingresos fiscale</w:t>
      </w:r>
      <w:r w:rsidR="00B931D2">
        <w:rPr>
          <w:rFonts w:eastAsiaTheme="minorHAnsi" w:cs="Times New Roman"/>
          <w:szCs w:val="22"/>
          <w:lang w:eastAsia="en-US"/>
        </w:rPr>
        <w:t>s</w:t>
      </w:r>
      <w:r w:rsidRPr="003B7A54">
        <w:rPr>
          <w:rFonts w:eastAsiaTheme="minorHAnsi" w:cs="Times New Roman"/>
          <w:szCs w:val="22"/>
          <w:lang w:eastAsia="en-US"/>
        </w:rPr>
        <w:t>.</w:t>
      </w:r>
      <w:r w:rsidR="004911A4" w:rsidRPr="00FC4688">
        <w:rPr>
          <w:rFonts w:cs="Times New Roman"/>
          <w:b/>
          <w:szCs w:val="22"/>
          <w:lang w:val="es-MX"/>
        </w:rPr>
        <w:br w:type="page"/>
      </w:r>
    </w:p>
    <w:p w14:paraId="020DDCB3" w14:textId="6E163663" w:rsidR="00264A75" w:rsidRPr="00FC4688" w:rsidRDefault="00264A75" w:rsidP="00997543">
      <w:pPr>
        <w:jc w:val="center"/>
        <w:rPr>
          <w:rFonts w:cs="Times New Roman"/>
          <w:b/>
          <w:szCs w:val="22"/>
          <w:lang w:val="es-MX"/>
        </w:rPr>
      </w:pPr>
      <w:r w:rsidRPr="00FC4688">
        <w:rPr>
          <w:rFonts w:cs="Times New Roman"/>
          <w:b/>
          <w:szCs w:val="22"/>
          <w:lang w:val="es-MX"/>
        </w:rPr>
        <w:lastRenderedPageBreak/>
        <w:t xml:space="preserve">Estado de </w:t>
      </w:r>
      <w:r w:rsidR="00697544" w:rsidRPr="00FC4688">
        <w:rPr>
          <w:rFonts w:cs="Times New Roman"/>
          <w:b/>
          <w:szCs w:val="22"/>
          <w:lang w:val="es-MX"/>
        </w:rPr>
        <w:t>O</w:t>
      </w:r>
      <w:r w:rsidRPr="00FC4688">
        <w:rPr>
          <w:rFonts w:cs="Times New Roman"/>
          <w:b/>
          <w:szCs w:val="22"/>
          <w:lang w:val="es-MX"/>
        </w:rPr>
        <w:t>peraciones</w:t>
      </w:r>
      <w:r w:rsidR="007105EE" w:rsidRPr="00FC4688">
        <w:rPr>
          <w:rFonts w:cs="Times New Roman"/>
          <w:b/>
          <w:szCs w:val="22"/>
          <w:lang w:val="es-MX"/>
        </w:rPr>
        <w:t xml:space="preserve"> </w:t>
      </w:r>
      <w:r w:rsidRPr="00FC4688">
        <w:rPr>
          <w:rFonts w:cs="Times New Roman"/>
          <w:b/>
          <w:szCs w:val="22"/>
          <w:lang w:val="es-MX"/>
        </w:rPr>
        <w:t>del Gobierno Central Presupuestario</w:t>
      </w:r>
    </w:p>
    <w:p w14:paraId="68D87BB8" w14:textId="6868F676" w:rsidR="007105EE" w:rsidRPr="00FC4688" w:rsidRDefault="007105EE" w:rsidP="00997543">
      <w:pPr>
        <w:jc w:val="center"/>
        <w:rPr>
          <w:rFonts w:cs="Times New Roman"/>
          <w:b/>
          <w:szCs w:val="22"/>
          <w:lang w:val="es-MX"/>
        </w:rPr>
      </w:pPr>
      <w:r w:rsidRPr="00FC4688">
        <w:rPr>
          <w:rFonts w:cs="Times New Roman"/>
          <w:b/>
          <w:szCs w:val="22"/>
          <w:lang w:val="es-MX"/>
        </w:rPr>
        <w:t xml:space="preserve">Cifras acumuladas </w:t>
      </w:r>
      <w:r w:rsidR="0065570F">
        <w:rPr>
          <w:rFonts w:cs="Times New Roman"/>
          <w:b/>
          <w:szCs w:val="22"/>
          <w:lang w:val="es-MX"/>
        </w:rPr>
        <w:t>a junio</w:t>
      </w:r>
      <w:r w:rsidR="00417CFB">
        <w:rPr>
          <w:rFonts w:cs="Times New Roman"/>
          <w:b/>
          <w:szCs w:val="22"/>
          <w:lang w:val="es-MX"/>
        </w:rPr>
        <w:t xml:space="preserve"> </w:t>
      </w:r>
      <w:r w:rsidR="0040363B" w:rsidRPr="00FC4688">
        <w:rPr>
          <w:rFonts w:cs="Times New Roman"/>
          <w:b/>
          <w:szCs w:val="22"/>
          <w:lang w:val="es-MX"/>
        </w:rPr>
        <w:t>de cada año</w:t>
      </w:r>
      <w:r w:rsidRPr="00FC4688">
        <w:rPr>
          <w:rFonts w:cs="Times New Roman"/>
          <w:b/>
          <w:szCs w:val="22"/>
          <w:lang w:val="es-MX"/>
        </w:rPr>
        <w:t>*</w:t>
      </w:r>
    </w:p>
    <w:p w14:paraId="3793E3FA" w14:textId="402859EF" w:rsidR="00A366A0" w:rsidRPr="00FC4688" w:rsidRDefault="00697544" w:rsidP="00944641">
      <w:pPr>
        <w:spacing w:after="240"/>
        <w:jc w:val="center"/>
        <w:rPr>
          <w:rFonts w:cs="Times New Roman"/>
          <w:sz w:val="16"/>
          <w:szCs w:val="22"/>
          <w:lang w:val="es-MX"/>
        </w:rPr>
      </w:pPr>
      <w:r w:rsidRPr="00FC4688">
        <w:rPr>
          <w:rFonts w:cs="Times New Roman"/>
          <w:bCs/>
          <w:szCs w:val="22"/>
          <w:lang w:val="es-MX"/>
        </w:rPr>
        <w:t>En millones de Quetzales</w:t>
      </w:r>
      <w:r w:rsidR="00414C97" w:rsidRPr="00FC4688">
        <w:rPr>
          <w:rFonts w:cs="Times New Roman"/>
          <w:bCs/>
          <w:szCs w:val="22"/>
          <w:lang w:val="es-MX"/>
        </w:rPr>
        <w:t xml:space="preserve"> y</w:t>
      </w:r>
      <w:r w:rsidR="0090006B" w:rsidRPr="00FC4688">
        <w:rPr>
          <w:rFonts w:cs="Times New Roman"/>
          <w:bCs/>
          <w:szCs w:val="22"/>
          <w:lang w:val="es-MX"/>
        </w:rPr>
        <w:t xml:space="preserve"> </w:t>
      </w:r>
      <w:r w:rsidR="00414C97" w:rsidRPr="00FC4688">
        <w:rPr>
          <w:rFonts w:cs="Times New Roman"/>
          <w:bCs/>
          <w:szCs w:val="22"/>
          <w:lang w:val="es-MX"/>
        </w:rPr>
        <w:t>Porcentajes</w:t>
      </w:r>
    </w:p>
    <w:tbl>
      <w:tblPr>
        <w:tblW w:w="6653" w:type="dxa"/>
        <w:jc w:val="center"/>
        <w:tblLayout w:type="fixed"/>
        <w:tblCellMar>
          <w:left w:w="70" w:type="dxa"/>
          <w:right w:w="70" w:type="dxa"/>
        </w:tblCellMar>
        <w:tblLook w:val="04A0" w:firstRow="1" w:lastRow="0" w:firstColumn="1" w:lastColumn="0" w:noHBand="0" w:noVBand="1"/>
      </w:tblPr>
      <w:tblGrid>
        <w:gridCol w:w="3164"/>
        <w:gridCol w:w="861"/>
        <w:gridCol w:w="861"/>
        <w:gridCol w:w="861"/>
        <w:gridCol w:w="906"/>
      </w:tblGrid>
      <w:tr w:rsidR="00673937" w:rsidRPr="00FC4688" w14:paraId="4E22BD21" w14:textId="5D5A4D27" w:rsidTr="007D65EB">
        <w:trPr>
          <w:trHeight w:val="264"/>
          <w:jc w:val="center"/>
        </w:trPr>
        <w:tc>
          <w:tcPr>
            <w:tcW w:w="3164" w:type="dxa"/>
            <w:vMerge w:val="restart"/>
            <w:tcBorders>
              <w:top w:val="single" w:sz="8" w:space="0" w:color="auto"/>
              <w:left w:val="single" w:sz="8" w:space="0" w:color="auto"/>
              <w:bottom w:val="single" w:sz="8" w:space="0" w:color="000000"/>
              <w:right w:val="nil"/>
            </w:tcBorders>
            <w:shd w:val="clear" w:color="000000" w:fill="44546A"/>
            <w:noWrap/>
            <w:vAlign w:val="center"/>
            <w:hideMark/>
          </w:tcPr>
          <w:p w14:paraId="58300B4C" w14:textId="77777777" w:rsidR="00673937" w:rsidRPr="00FC4688" w:rsidRDefault="00673937" w:rsidP="004D429B">
            <w:pPr>
              <w:jc w:val="center"/>
              <w:rPr>
                <w:rFonts w:eastAsia="Times New Roman" w:cs="Times New Roman"/>
                <w:b/>
                <w:bCs/>
                <w:color w:val="FFFFFF"/>
                <w:sz w:val="18"/>
                <w:szCs w:val="18"/>
                <w:lang w:eastAsia="es-GT"/>
              </w:rPr>
            </w:pPr>
            <w:r w:rsidRPr="00FC4688">
              <w:rPr>
                <w:rFonts w:eastAsia="Times New Roman" w:cs="Times New Roman"/>
                <w:b/>
                <w:bCs/>
                <w:color w:val="FFFFFF"/>
                <w:sz w:val="18"/>
                <w:szCs w:val="18"/>
                <w:lang w:eastAsia="es-GT"/>
              </w:rPr>
              <w:t>Descripción</w:t>
            </w:r>
          </w:p>
        </w:tc>
        <w:tc>
          <w:tcPr>
            <w:tcW w:w="1722" w:type="dxa"/>
            <w:gridSpan w:val="2"/>
            <w:tcBorders>
              <w:top w:val="single" w:sz="8" w:space="0" w:color="auto"/>
              <w:left w:val="single" w:sz="8" w:space="0" w:color="auto"/>
              <w:bottom w:val="single" w:sz="8" w:space="0" w:color="000000"/>
              <w:right w:val="single" w:sz="8" w:space="0" w:color="auto"/>
            </w:tcBorders>
            <w:shd w:val="clear" w:color="000000" w:fill="44546A"/>
            <w:vAlign w:val="center"/>
            <w:hideMark/>
          </w:tcPr>
          <w:p w14:paraId="7A1933AF" w14:textId="1047AA65" w:rsidR="00673937" w:rsidRPr="006616A5" w:rsidRDefault="00673937" w:rsidP="004D429B">
            <w:pPr>
              <w:jc w:val="center"/>
              <w:rPr>
                <w:rFonts w:eastAsia="Times New Roman" w:cs="Times New Roman"/>
                <w:b/>
                <w:bCs/>
                <w:color w:val="FFFFFF"/>
                <w:sz w:val="18"/>
                <w:szCs w:val="18"/>
                <w:lang w:eastAsia="es-GT"/>
              </w:rPr>
            </w:pPr>
            <w:r w:rsidRPr="006616A5">
              <w:rPr>
                <w:rFonts w:eastAsia="Times New Roman" w:cs="Times New Roman"/>
                <w:b/>
                <w:bCs/>
                <w:color w:val="FFFFFF"/>
                <w:sz w:val="18"/>
                <w:szCs w:val="18"/>
                <w:lang w:eastAsia="es-GT"/>
              </w:rPr>
              <w:t>En millones de Q</w:t>
            </w:r>
          </w:p>
        </w:tc>
        <w:tc>
          <w:tcPr>
            <w:tcW w:w="1767" w:type="dxa"/>
            <w:gridSpan w:val="2"/>
            <w:tcBorders>
              <w:top w:val="single" w:sz="8" w:space="0" w:color="auto"/>
              <w:left w:val="nil"/>
              <w:bottom w:val="single" w:sz="8" w:space="0" w:color="auto"/>
              <w:right w:val="single" w:sz="8" w:space="0" w:color="000000"/>
            </w:tcBorders>
            <w:shd w:val="clear" w:color="000000" w:fill="44546A"/>
            <w:vAlign w:val="center"/>
            <w:hideMark/>
          </w:tcPr>
          <w:p w14:paraId="33E0B23E" w14:textId="77777777" w:rsidR="00673937" w:rsidRPr="006616A5" w:rsidRDefault="00673937" w:rsidP="004D429B">
            <w:pPr>
              <w:jc w:val="center"/>
              <w:rPr>
                <w:rFonts w:eastAsia="Times New Roman" w:cs="Times New Roman"/>
                <w:b/>
                <w:bCs/>
                <w:color w:val="FFFFFF"/>
                <w:sz w:val="18"/>
                <w:szCs w:val="18"/>
                <w:lang w:eastAsia="es-GT"/>
              </w:rPr>
            </w:pPr>
            <w:r w:rsidRPr="006616A5">
              <w:rPr>
                <w:rFonts w:eastAsia="Times New Roman" w:cs="Times New Roman"/>
                <w:b/>
                <w:bCs/>
                <w:color w:val="FFFFFF"/>
                <w:sz w:val="18"/>
                <w:szCs w:val="18"/>
                <w:lang w:eastAsia="es-GT"/>
              </w:rPr>
              <w:t>Variación Interanual</w:t>
            </w:r>
          </w:p>
        </w:tc>
      </w:tr>
      <w:tr w:rsidR="00673937" w:rsidRPr="00FC4688" w14:paraId="52911BCD" w14:textId="3DCB36A8" w:rsidTr="007D65EB">
        <w:trPr>
          <w:trHeight w:val="264"/>
          <w:jc w:val="center"/>
        </w:trPr>
        <w:tc>
          <w:tcPr>
            <w:tcW w:w="3164" w:type="dxa"/>
            <w:vMerge/>
            <w:tcBorders>
              <w:top w:val="single" w:sz="8" w:space="0" w:color="auto"/>
              <w:left w:val="single" w:sz="8" w:space="0" w:color="auto"/>
              <w:bottom w:val="single" w:sz="8" w:space="0" w:color="000000"/>
              <w:right w:val="nil"/>
            </w:tcBorders>
            <w:vAlign w:val="center"/>
            <w:hideMark/>
          </w:tcPr>
          <w:p w14:paraId="25BE7534" w14:textId="77777777" w:rsidR="00673937" w:rsidRPr="00FC4688" w:rsidRDefault="00673937" w:rsidP="006616A5">
            <w:pPr>
              <w:jc w:val="left"/>
              <w:rPr>
                <w:rFonts w:eastAsia="Times New Roman" w:cs="Times New Roman"/>
                <w:b/>
                <w:bCs/>
                <w:color w:val="FFFFFF"/>
                <w:sz w:val="18"/>
                <w:szCs w:val="18"/>
                <w:lang w:eastAsia="es-GT"/>
              </w:rPr>
            </w:pPr>
          </w:p>
        </w:tc>
        <w:tc>
          <w:tcPr>
            <w:tcW w:w="861" w:type="dxa"/>
            <w:tcBorders>
              <w:top w:val="single" w:sz="8" w:space="0" w:color="auto"/>
              <w:left w:val="single" w:sz="8" w:space="0" w:color="auto"/>
              <w:bottom w:val="single" w:sz="8" w:space="0" w:color="000000"/>
              <w:right w:val="single" w:sz="8" w:space="0" w:color="auto"/>
            </w:tcBorders>
            <w:shd w:val="clear" w:color="auto" w:fill="7F7F7F" w:themeFill="text1" w:themeFillTint="80"/>
            <w:vAlign w:val="center"/>
            <w:hideMark/>
          </w:tcPr>
          <w:p w14:paraId="16A31A0B" w14:textId="7493F4EE" w:rsidR="00673937" w:rsidRPr="003E4789" w:rsidRDefault="00673937" w:rsidP="005747F1">
            <w:pPr>
              <w:jc w:val="center"/>
              <w:rPr>
                <w:rFonts w:eastAsia="Times New Roman" w:cs="Times New Roman"/>
                <w:b/>
                <w:bCs/>
                <w:color w:val="FFFFFF" w:themeColor="background1"/>
                <w:sz w:val="18"/>
                <w:szCs w:val="18"/>
                <w:lang w:eastAsia="es-GT"/>
              </w:rPr>
            </w:pPr>
            <w:r w:rsidRPr="003E4789">
              <w:rPr>
                <w:rFonts w:eastAsia="Times New Roman" w:cs="Times New Roman"/>
                <w:b/>
                <w:bCs/>
                <w:color w:val="FFFFFF" w:themeColor="background1"/>
                <w:sz w:val="18"/>
                <w:szCs w:val="18"/>
                <w:lang w:eastAsia="es-GT"/>
              </w:rPr>
              <w:t>202</w:t>
            </w:r>
            <w:r w:rsidR="001C236C">
              <w:rPr>
                <w:rFonts w:eastAsia="Times New Roman" w:cs="Times New Roman"/>
                <w:b/>
                <w:bCs/>
                <w:color w:val="FFFFFF" w:themeColor="background1"/>
                <w:sz w:val="18"/>
                <w:szCs w:val="18"/>
                <w:lang w:eastAsia="es-GT"/>
              </w:rPr>
              <w:t>2</w:t>
            </w:r>
          </w:p>
        </w:tc>
        <w:tc>
          <w:tcPr>
            <w:tcW w:w="861" w:type="dxa"/>
            <w:tcBorders>
              <w:top w:val="single" w:sz="8" w:space="0" w:color="auto"/>
              <w:left w:val="single" w:sz="8" w:space="0" w:color="auto"/>
              <w:bottom w:val="single" w:sz="8" w:space="0" w:color="000000"/>
              <w:right w:val="single" w:sz="8" w:space="0" w:color="auto"/>
            </w:tcBorders>
            <w:shd w:val="clear" w:color="auto" w:fill="7F7F7F" w:themeFill="text1" w:themeFillTint="80"/>
            <w:vAlign w:val="center"/>
            <w:hideMark/>
          </w:tcPr>
          <w:p w14:paraId="0A2ADCC9" w14:textId="00E94957" w:rsidR="00673937" w:rsidRPr="003E4789" w:rsidRDefault="00673937" w:rsidP="005747F1">
            <w:pPr>
              <w:jc w:val="center"/>
              <w:rPr>
                <w:rFonts w:eastAsia="Times New Roman" w:cs="Times New Roman"/>
                <w:b/>
                <w:bCs/>
                <w:color w:val="FFFFFF" w:themeColor="background1"/>
                <w:sz w:val="18"/>
                <w:szCs w:val="18"/>
                <w:lang w:eastAsia="es-GT"/>
              </w:rPr>
            </w:pPr>
            <w:r w:rsidRPr="003E4789">
              <w:rPr>
                <w:rFonts w:eastAsia="Times New Roman" w:cs="Times New Roman"/>
                <w:b/>
                <w:bCs/>
                <w:color w:val="FFFFFF" w:themeColor="background1"/>
                <w:sz w:val="18"/>
                <w:szCs w:val="18"/>
                <w:lang w:eastAsia="es-GT"/>
              </w:rPr>
              <w:t>202</w:t>
            </w:r>
            <w:r w:rsidR="001C236C">
              <w:rPr>
                <w:rFonts w:eastAsia="Times New Roman" w:cs="Times New Roman"/>
                <w:b/>
                <w:bCs/>
                <w:color w:val="FFFFFF" w:themeColor="background1"/>
                <w:sz w:val="18"/>
                <w:szCs w:val="18"/>
                <w:lang w:eastAsia="es-GT"/>
              </w:rPr>
              <w:t>3</w:t>
            </w:r>
            <w:r w:rsidRPr="003E4789">
              <w:rPr>
                <w:rFonts w:eastAsia="Times New Roman" w:cs="Times New Roman"/>
                <w:b/>
                <w:bCs/>
                <w:color w:val="FFFFFF" w:themeColor="background1"/>
                <w:sz w:val="18"/>
                <w:szCs w:val="18"/>
                <w:lang w:eastAsia="es-GT"/>
              </w:rPr>
              <w:t>*</w:t>
            </w:r>
          </w:p>
        </w:tc>
        <w:tc>
          <w:tcPr>
            <w:tcW w:w="861" w:type="dxa"/>
            <w:tcBorders>
              <w:top w:val="nil"/>
              <w:left w:val="nil"/>
              <w:bottom w:val="single" w:sz="8" w:space="0" w:color="auto"/>
              <w:right w:val="single" w:sz="8" w:space="0" w:color="auto"/>
            </w:tcBorders>
            <w:shd w:val="clear" w:color="auto" w:fill="808080" w:themeFill="background1" w:themeFillShade="80"/>
            <w:vAlign w:val="center"/>
            <w:hideMark/>
          </w:tcPr>
          <w:p w14:paraId="2964B4C2" w14:textId="77777777" w:rsidR="00673937" w:rsidRPr="00FC4688" w:rsidRDefault="00673937" w:rsidP="005747F1">
            <w:pPr>
              <w:jc w:val="center"/>
              <w:rPr>
                <w:rFonts w:eastAsia="Times New Roman" w:cs="Times New Roman"/>
                <w:b/>
                <w:bCs/>
                <w:color w:val="FFFFFF"/>
                <w:sz w:val="18"/>
                <w:szCs w:val="18"/>
                <w:lang w:eastAsia="es-GT"/>
              </w:rPr>
            </w:pPr>
            <w:r w:rsidRPr="00FC4688">
              <w:rPr>
                <w:rFonts w:eastAsia="Times New Roman" w:cs="Times New Roman"/>
                <w:b/>
                <w:bCs/>
                <w:color w:val="FFFFFF"/>
                <w:sz w:val="18"/>
                <w:szCs w:val="18"/>
                <w:lang w:eastAsia="es-GT"/>
              </w:rPr>
              <w:t>Absoluta</w:t>
            </w:r>
          </w:p>
        </w:tc>
        <w:tc>
          <w:tcPr>
            <w:tcW w:w="906" w:type="dxa"/>
            <w:tcBorders>
              <w:top w:val="nil"/>
              <w:left w:val="nil"/>
              <w:bottom w:val="single" w:sz="8" w:space="0" w:color="auto"/>
              <w:right w:val="single" w:sz="8" w:space="0" w:color="auto"/>
            </w:tcBorders>
            <w:shd w:val="clear" w:color="auto" w:fill="808080" w:themeFill="background1" w:themeFillShade="80"/>
            <w:vAlign w:val="center"/>
            <w:hideMark/>
          </w:tcPr>
          <w:p w14:paraId="177730A0" w14:textId="77777777" w:rsidR="00673937" w:rsidRPr="00FC4688" w:rsidRDefault="00673937" w:rsidP="005747F1">
            <w:pPr>
              <w:jc w:val="center"/>
              <w:rPr>
                <w:rFonts w:eastAsia="Times New Roman" w:cs="Times New Roman"/>
                <w:b/>
                <w:bCs/>
                <w:color w:val="FFFFFF"/>
                <w:sz w:val="18"/>
                <w:szCs w:val="18"/>
                <w:lang w:eastAsia="es-GT"/>
              </w:rPr>
            </w:pPr>
            <w:r w:rsidRPr="00FC4688">
              <w:rPr>
                <w:rFonts w:eastAsia="Times New Roman" w:cs="Times New Roman"/>
                <w:b/>
                <w:bCs/>
                <w:color w:val="FFFFFF"/>
                <w:sz w:val="18"/>
                <w:szCs w:val="18"/>
                <w:lang w:eastAsia="es-GT"/>
              </w:rPr>
              <w:t>Relativa</w:t>
            </w:r>
          </w:p>
        </w:tc>
      </w:tr>
      <w:tr w:rsidR="00BE7165" w:rsidRPr="00FC4688" w14:paraId="331C0894" w14:textId="3915E4C5" w:rsidTr="007D65EB">
        <w:trPr>
          <w:trHeight w:val="252"/>
          <w:jc w:val="center"/>
        </w:trPr>
        <w:tc>
          <w:tcPr>
            <w:tcW w:w="3164" w:type="dxa"/>
            <w:tcBorders>
              <w:top w:val="nil"/>
              <w:left w:val="nil"/>
              <w:bottom w:val="nil"/>
              <w:right w:val="nil"/>
            </w:tcBorders>
            <w:shd w:val="clear" w:color="auto" w:fill="auto"/>
            <w:noWrap/>
            <w:vAlign w:val="center"/>
            <w:hideMark/>
          </w:tcPr>
          <w:p w14:paraId="23E471B9" w14:textId="77777777" w:rsidR="00BE7165" w:rsidRPr="00312323" w:rsidRDefault="00BE7165" w:rsidP="00BE7165">
            <w:pPr>
              <w:rPr>
                <w:rFonts w:eastAsia="Times New Roman" w:cs="Times New Roman"/>
                <w:b/>
                <w:bCs/>
                <w:color w:val="000000"/>
                <w:sz w:val="16"/>
                <w:szCs w:val="16"/>
                <w:lang w:eastAsia="es-GT"/>
              </w:rPr>
            </w:pPr>
            <w:r w:rsidRPr="00312323">
              <w:rPr>
                <w:rFonts w:eastAsia="Times New Roman" w:cs="Times New Roman"/>
                <w:b/>
                <w:bCs/>
                <w:color w:val="000000"/>
                <w:sz w:val="16"/>
                <w:szCs w:val="16"/>
                <w:lang w:eastAsia="es-GT"/>
              </w:rPr>
              <w:t>INGRESO</w:t>
            </w:r>
          </w:p>
        </w:tc>
        <w:tc>
          <w:tcPr>
            <w:tcW w:w="861" w:type="dxa"/>
            <w:tcBorders>
              <w:top w:val="nil"/>
              <w:left w:val="nil"/>
              <w:bottom w:val="nil"/>
              <w:right w:val="nil"/>
            </w:tcBorders>
            <w:shd w:val="clear" w:color="auto" w:fill="auto"/>
            <w:noWrap/>
            <w:vAlign w:val="center"/>
            <w:hideMark/>
          </w:tcPr>
          <w:p w14:paraId="0DEB8F6A" w14:textId="46EB4DE0" w:rsidR="00BE7165" w:rsidRPr="00BE7165" w:rsidRDefault="00BE7165" w:rsidP="00BE7165">
            <w:pPr>
              <w:jc w:val="center"/>
              <w:rPr>
                <w:rFonts w:eastAsia="Times New Roman" w:cs="Times New Roman"/>
                <w:b/>
                <w:bCs/>
                <w:color w:val="000000"/>
                <w:sz w:val="16"/>
                <w:szCs w:val="16"/>
                <w:lang w:eastAsia="es-GT"/>
              </w:rPr>
            </w:pPr>
            <w:r w:rsidRPr="00BE7165">
              <w:rPr>
                <w:b/>
                <w:bCs/>
                <w:color w:val="000000"/>
                <w:sz w:val="16"/>
                <w:szCs w:val="16"/>
              </w:rPr>
              <w:t>45,434.2</w:t>
            </w:r>
          </w:p>
        </w:tc>
        <w:tc>
          <w:tcPr>
            <w:tcW w:w="861" w:type="dxa"/>
            <w:tcBorders>
              <w:top w:val="nil"/>
              <w:left w:val="nil"/>
              <w:bottom w:val="nil"/>
              <w:right w:val="nil"/>
            </w:tcBorders>
            <w:shd w:val="clear" w:color="auto" w:fill="auto"/>
            <w:noWrap/>
            <w:vAlign w:val="center"/>
            <w:hideMark/>
          </w:tcPr>
          <w:p w14:paraId="20E99ABE" w14:textId="3A664CE4" w:rsidR="00BE7165" w:rsidRPr="00BE7165" w:rsidRDefault="00BE7165" w:rsidP="00BE7165">
            <w:pPr>
              <w:jc w:val="center"/>
              <w:rPr>
                <w:rFonts w:eastAsia="Times New Roman" w:cs="Times New Roman"/>
                <w:b/>
                <w:bCs/>
                <w:color w:val="000000"/>
                <w:sz w:val="16"/>
                <w:szCs w:val="16"/>
                <w:lang w:eastAsia="es-GT"/>
              </w:rPr>
            </w:pPr>
            <w:r w:rsidRPr="00BE7165">
              <w:rPr>
                <w:b/>
                <w:bCs/>
                <w:color w:val="000000"/>
                <w:sz w:val="16"/>
                <w:szCs w:val="16"/>
              </w:rPr>
              <w:t>49,902.1</w:t>
            </w:r>
          </w:p>
        </w:tc>
        <w:tc>
          <w:tcPr>
            <w:tcW w:w="861" w:type="dxa"/>
            <w:tcBorders>
              <w:top w:val="nil"/>
              <w:left w:val="dotDash" w:sz="4" w:space="0" w:color="auto"/>
              <w:bottom w:val="nil"/>
              <w:right w:val="nil"/>
            </w:tcBorders>
            <w:shd w:val="clear" w:color="auto" w:fill="auto"/>
            <w:noWrap/>
            <w:vAlign w:val="center"/>
            <w:hideMark/>
          </w:tcPr>
          <w:p w14:paraId="3CE23E92" w14:textId="0AB94C5D" w:rsidR="00BE7165" w:rsidRPr="00BE7165" w:rsidRDefault="00BE7165" w:rsidP="00BE7165">
            <w:pPr>
              <w:jc w:val="center"/>
              <w:rPr>
                <w:rFonts w:eastAsia="Times New Roman" w:cs="Times New Roman"/>
                <w:b/>
                <w:bCs/>
                <w:color w:val="000000"/>
                <w:sz w:val="16"/>
                <w:szCs w:val="16"/>
                <w:lang w:eastAsia="es-GT"/>
              </w:rPr>
            </w:pPr>
            <w:r w:rsidRPr="00BE7165">
              <w:rPr>
                <w:b/>
                <w:bCs/>
                <w:color w:val="000000"/>
                <w:sz w:val="16"/>
                <w:szCs w:val="16"/>
              </w:rPr>
              <w:t>4,467.8</w:t>
            </w:r>
          </w:p>
        </w:tc>
        <w:tc>
          <w:tcPr>
            <w:tcW w:w="906" w:type="dxa"/>
            <w:tcBorders>
              <w:top w:val="nil"/>
              <w:left w:val="nil"/>
              <w:bottom w:val="nil"/>
              <w:right w:val="nil"/>
            </w:tcBorders>
            <w:shd w:val="clear" w:color="auto" w:fill="auto"/>
            <w:noWrap/>
            <w:vAlign w:val="center"/>
            <w:hideMark/>
          </w:tcPr>
          <w:p w14:paraId="4E872ED2" w14:textId="574C2AF5" w:rsidR="00BE7165" w:rsidRPr="00BE7165" w:rsidRDefault="00BE7165" w:rsidP="00BE7165">
            <w:pPr>
              <w:jc w:val="center"/>
              <w:rPr>
                <w:rFonts w:eastAsia="Times New Roman" w:cs="Times New Roman"/>
                <w:b/>
                <w:bCs/>
                <w:color w:val="000000"/>
                <w:sz w:val="16"/>
                <w:szCs w:val="16"/>
                <w:lang w:eastAsia="es-GT"/>
              </w:rPr>
            </w:pPr>
            <w:r w:rsidRPr="00BE7165">
              <w:rPr>
                <w:b/>
                <w:bCs/>
                <w:color w:val="000000"/>
                <w:sz w:val="16"/>
                <w:szCs w:val="16"/>
              </w:rPr>
              <w:t>9.8</w:t>
            </w:r>
          </w:p>
        </w:tc>
      </w:tr>
      <w:tr w:rsidR="00BE7165" w:rsidRPr="00FC4688" w14:paraId="3458F854" w14:textId="5B23C4AF" w:rsidTr="007D65EB">
        <w:trPr>
          <w:trHeight w:val="252"/>
          <w:jc w:val="center"/>
        </w:trPr>
        <w:tc>
          <w:tcPr>
            <w:tcW w:w="3164" w:type="dxa"/>
            <w:tcBorders>
              <w:top w:val="nil"/>
              <w:left w:val="nil"/>
              <w:bottom w:val="nil"/>
              <w:right w:val="nil"/>
            </w:tcBorders>
            <w:shd w:val="clear" w:color="auto" w:fill="auto"/>
            <w:noWrap/>
            <w:vAlign w:val="center"/>
            <w:hideMark/>
          </w:tcPr>
          <w:p w14:paraId="5581EAE2" w14:textId="77777777" w:rsidR="00BE7165" w:rsidRPr="00FC4688" w:rsidRDefault="00BE7165" w:rsidP="00BE7165">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Impuestos</w:t>
            </w:r>
          </w:p>
        </w:tc>
        <w:tc>
          <w:tcPr>
            <w:tcW w:w="861" w:type="dxa"/>
            <w:tcBorders>
              <w:top w:val="nil"/>
              <w:left w:val="nil"/>
              <w:bottom w:val="nil"/>
              <w:right w:val="nil"/>
            </w:tcBorders>
            <w:shd w:val="clear" w:color="auto" w:fill="auto"/>
            <w:noWrap/>
            <w:vAlign w:val="center"/>
            <w:hideMark/>
          </w:tcPr>
          <w:p w14:paraId="741CC720" w14:textId="7447D690"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41,846.2</w:t>
            </w:r>
          </w:p>
        </w:tc>
        <w:tc>
          <w:tcPr>
            <w:tcW w:w="861" w:type="dxa"/>
            <w:tcBorders>
              <w:top w:val="nil"/>
              <w:left w:val="nil"/>
              <w:bottom w:val="nil"/>
              <w:right w:val="nil"/>
            </w:tcBorders>
            <w:shd w:val="clear" w:color="auto" w:fill="auto"/>
            <w:noWrap/>
            <w:vAlign w:val="center"/>
            <w:hideMark/>
          </w:tcPr>
          <w:p w14:paraId="0F100D77" w14:textId="178369E9"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45,786.5</w:t>
            </w:r>
          </w:p>
        </w:tc>
        <w:tc>
          <w:tcPr>
            <w:tcW w:w="861" w:type="dxa"/>
            <w:tcBorders>
              <w:top w:val="nil"/>
              <w:left w:val="dotDash" w:sz="4" w:space="0" w:color="auto"/>
              <w:bottom w:val="nil"/>
              <w:right w:val="nil"/>
            </w:tcBorders>
            <w:shd w:val="clear" w:color="auto" w:fill="auto"/>
            <w:noWrap/>
            <w:vAlign w:val="center"/>
            <w:hideMark/>
          </w:tcPr>
          <w:p w14:paraId="75E14500" w14:textId="60646F56"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3,940.3</w:t>
            </w:r>
          </w:p>
        </w:tc>
        <w:tc>
          <w:tcPr>
            <w:tcW w:w="906" w:type="dxa"/>
            <w:tcBorders>
              <w:top w:val="nil"/>
              <w:left w:val="nil"/>
              <w:bottom w:val="nil"/>
              <w:right w:val="nil"/>
            </w:tcBorders>
            <w:shd w:val="clear" w:color="auto" w:fill="auto"/>
            <w:noWrap/>
            <w:vAlign w:val="center"/>
            <w:hideMark/>
          </w:tcPr>
          <w:p w14:paraId="5E2108BC" w14:textId="6FF19180"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9.4</w:t>
            </w:r>
          </w:p>
        </w:tc>
      </w:tr>
      <w:tr w:rsidR="00BE7165" w:rsidRPr="00FC4688" w14:paraId="0933DA23" w14:textId="673BBB5D" w:rsidTr="007D65EB">
        <w:trPr>
          <w:trHeight w:val="252"/>
          <w:jc w:val="center"/>
        </w:trPr>
        <w:tc>
          <w:tcPr>
            <w:tcW w:w="3164" w:type="dxa"/>
            <w:tcBorders>
              <w:top w:val="nil"/>
              <w:left w:val="nil"/>
              <w:bottom w:val="nil"/>
              <w:right w:val="nil"/>
            </w:tcBorders>
            <w:shd w:val="clear" w:color="auto" w:fill="auto"/>
            <w:noWrap/>
            <w:vAlign w:val="center"/>
            <w:hideMark/>
          </w:tcPr>
          <w:p w14:paraId="543B74CC" w14:textId="77777777" w:rsidR="00BE7165" w:rsidRPr="00FC4688" w:rsidRDefault="00BE7165" w:rsidP="00BE7165">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 xml:space="preserve">Contribuciones sociales </w:t>
            </w:r>
          </w:p>
        </w:tc>
        <w:tc>
          <w:tcPr>
            <w:tcW w:w="861" w:type="dxa"/>
            <w:tcBorders>
              <w:top w:val="nil"/>
              <w:left w:val="nil"/>
              <w:bottom w:val="nil"/>
              <w:right w:val="nil"/>
            </w:tcBorders>
            <w:shd w:val="clear" w:color="auto" w:fill="auto"/>
            <w:noWrap/>
            <w:vAlign w:val="center"/>
            <w:hideMark/>
          </w:tcPr>
          <w:p w14:paraId="07FC9E7D" w14:textId="245F4870"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2,331.8</w:t>
            </w:r>
          </w:p>
        </w:tc>
        <w:tc>
          <w:tcPr>
            <w:tcW w:w="861" w:type="dxa"/>
            <w:tcBorders>
              <w:top w:val="nil"/>
              <w:left w:val="nil"/>
              <w:bottom w:val="nil"/>
              <w:right w:val="nil"/>
            </w:tcBorders>
            <w:shd w:val="clear" w:color="auto" w:fill="auto"/>
            <w:noWrap/>
            <w:vAlign w:val="center"/>
            <w:hideMark/>
          </w:tcPr>
          <w:p w14:paraId="0158D5DD" w14:textId="77C3676A"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2,729.9</w:t>
            </w:r>
          </w:p>
        </w:tc>
        <w:tc>
          <w:tcPr>
            <w:tcW w:w="861" w:type="dxa"/>
            <w:tcBorders>
              <w:top w:val="nil"/>
              <w:left w:val="dotDash" w:sz="4" w:space="0" w:color="auto"/>
              <w:bottom w:val="nil"/>
              <w:right w:val="nil"/>
            </w:tcBorders>
            <w:shd w:val="clear" w:color="auto" w:fill="auto"/>
            <w:noWrap/>
            <w:vAlign w:val="center"/>
            <w:hideMark/>
          </w:tcPr>
          <w:p w14:paraId="48113875" w14:textId="5FD4B174"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398.1</w:t>
            </w:r>
          </w:p>
        </w:tc>
        <w:tc>
          <w:tcPr>
            <w:tcW w:w="906" w:type="dxa"/>
            <w:tcBorders>
              <w:top w:val="nil"/>
              <w:left w:val="nil"/>
              <w:bottom w:val="nil"/>
              <w:right w:val="nil"/>
            </w:tcBorders>
            <w:shd w:val="clear" w:color="auto" w:fill="auto"/>
            <w:noWrap/>
            <w:vAlign w:val="center"/>
            <w:hideMark/>
          </w:tcPr>
          <w:p w14:paraId="57AFAAAF" w14:textId="46FD66F3"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17.1</w:t>
            </w:r>
          </w:p>
        </w:tc>
      </w:tr>
      <w:tr w:rsidR="00BE7165" w:rsidRPr="00FC4688" w14:paraId="51764967" w14:textId="622D0A0B" w:rsidTr="007D65EB">
        <w:trPr>
          <w:trHeight w:val="252"/>
          <w:jc w:val="center"/>
        </w:trPr>
        <w:tc>
          <w:tcPr>
            <w:tcW w:w="3164" w:type="dxa"/>
            <w:tcBorders>
              <w:top w:val="nil"/>
              <w:left w:val="nil"/>
              <w:bottom w:val="nil"/>
              <w:right w:val="nil"/>
            </w:tcBorders>
            <w:shd w:val="clear" w:color="auto" w:fill="auto"/>
            <w:noWrap/>
            <w:vAlign w:val="center"/>
            <w:hideMark/>
          </w:tcPr>
          <w:p w14:paraId="25442D09" w14:textId="77777777" w:rsidR="00BE7165" w:rsidRPr="00FC4688" w:rsidRDefault="00BE7165" w:rsidP="00BE7165">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Donaciones</w:t>
            </w:r>
          </w:p>
        </w:tc>
        <w:tc>
          <w:tcPr>
            <w:tcW w:w="861" w:type="dxa"/>
            <w:tcBorders>
              <w:top w:val="nil"/>
              <w:left w:val="nil"/>
              <w:bottom w:val="nil"/>
              <w:right w:val="nil"/>
            </w:tcBorders>
            <w:shd w:val="clear" w:color="auto" w:fill="auto"/>
            <w:noWrap/>
            <w:vAlign w:val="center"/>
            <w:hideMark/>
          </w:tcPr>
          <w:p w14:paraId="43806E36" w14:textId="360A6950"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48.2</w:t>
            </w:r>
          </w:p>
        </w:tc>
        <w:tc>
          <w:tcPr>
            <w:tcW w:w="861" w:type="dxa"/>
            <w:tcBorders>
              <w:top w:val="nil"/>
              <w:left w:val="nil"/>
              <w:bottom w:val="nil"/>
              <w:right w:val="nil"/>
            </w:tcBorders>
            <w:shd w:val="clear" w:color="auto" w:fill="auto"/>
            <w:noWrap/>
            <w:vAlign w:val="center"/>
            <w:hideMark/>
          </w:tcPr>
          <w:p w14:paraId="3110F372" w14:textId="1903A614"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17.6</w:t>
            </w:r>
          </w:p>
        </w:tc>
        <w:tc>
          <w:tcPr>
            <w:tcW w:w="861" w:type="dxa"/>
            <w:tcBorders>
              <w:top w:val="nil"/>
              <w:left w:val="dotDash" w:sz="4" w:space="0" w:color="auto"/>
              <w:bottom w:val="nil"/>
              <w:right w:val="nil"/>
            </w:tcBorders>
            <w:shd w:val="clear" w:color="auto" w:fill="auto"/>
            <w:noWrap/>
            <w:vAlign w:val="center"/>
            <w:hideMark/>
          </w:tcPr>
          <w:p w14:paraId="7258307B" w14:textId="72E833E0"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-30.6</w:t>
            </w:r>
          </w:p>
        </w:tc>
        <w:tc>
          <w:tcPr>
            <w:tcW w:w="906" w:type="dxa"/>
            <w:tcBorders>
              <w:top w:val="nil"/>
              <w:left w:val="nil"/>
              <w:bottom w:val="nil"/>
              <w:right w:val="nil"/>
            </w:tcBorders>
            <w:shd w:val="clear" w:color="auto" w:fill="auto"/>
            <w:noWrap/>
            <w:vAlign w:val="center"/>
            <w:hideMark/>
          </w:tcPr>
          <w:p w14:paraId="3C48D73E" w14:textId="15547111"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-63.5</w:t>
            </w:r>
          </w:p>
        </w:tc>
      </w:tr>
      <w:tr w:rsidR="00BE7165" w:rsidRPr="00FC4688" w14:paraId="28085D07" w14:textId="61247121" w:rsidTr="007D65EB">
        <w:trPr>
          <w:trHeight w:val="252"/>
          <w:jc w:val="center"/>
        </w:trPr>
        <w:tc>
          <w:tcPr>
            <w:tcW w:w="3164" w:type="dxa"/>
            <w:tcBorders>
              <w:top w:val="nil"/>
              <w:left w:val="nil"/>
              <w:bottom w:val="nil"/>
              <w:right w:val="nil"/>
            </w:tcBorders>
            <w:shd w:val="clear" w:color="auto" w:fill="auto"/>
            <w:noWrap/>
            <w:vAlign w:val="center"/>
            <w:hideMark/>
          </w:tcPr>
          <w:p w14:paraId="41EAD321" w14:textId="77777777" w:rsidR="00BE7165" w:rsidRPr="00FC4688" w:rsidRDefault="00BE7165" w:rsidP="00BE7165">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 xml:space="preserve">Otros ingresos </w:t>
            </w:r>
          </w:p>
        </w:tc>
        <w:tc>
          <w:tcPr>
            <w:tcW w:w="861" w:type="dxa"/>
            <w:tcBorders>
              <w:top w:val="nil"/>
              <w:left w:val="nil"/>
              <w:bottom w:val="nil"/>
              <w:right w:val="nil"/>
            </w:tcBorders>
            <w:shd w:val="clear" w:color="auto" w:fill="auto"/>
            <w:noWrap/>
            <w:vAlign w:val="center"/>
            <w:hideMark/>
          </w:tcPr>
          <w:p w14:paraId="68B2633D" w14:textId="1BB77254"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1,208.0</w:t>
            </w:r>
          </w:p>
        </w:tc>
        <w:tc>
          <w:tcPr>
            <w:tcW w:w="861" w:type="dxa"/>
            <w:tcBorders>
              <w:top w:val="nil"/>
              <w:left w:val="nil"/>
              <w:bottom w:val="nil"/>
              <w:right w:val="nil"/>
            </w:tcBorders>
            <w:shd w:val="clear" w:color="auto" w:fill="auto"/>
            <w:noWrap/>
            <w:vAlign w:val="center"/>
            <w:hideMark/>
          </w:tcPr>
          <w:p w14:paraId="1E961B97" w14:textId="78A69830"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1,368.1</w:t>
            </w:r>
          </w:p>
        </w:tc>
        <w:tc>
          <w:tcPr>
            <w:tcW w:w="861" w:type="dxa"/>
            <w:tcBorders>
              <w:top w:val="nil"/>
              <w:left w:val="dotDash" w:sz="4" w:space="0" w:color="auto"/>
              <w:bottom w:val="nil"/>
              <w:right w:val="nil"/>
            </w:tcBorders>
            <w:shd w:val="clear" w:color="auto" w:fill="auto"/>
            <w:noWrap/>
            <w:vAlign w:val="center"/>
            <w:hideMark/>
          </w:tcPr>
          <w:p w14:paraId="7FAD3011" w14:textId="0ED84C28"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160.1</w:t>
            </w:r>
          </w:p>
        </w:tc>
        <w:tc>
          <w:tcPr>
            <w:tcW w:w="906" w:type="dxa"/>
            <w:tcBorders>
              <w:top w:val="nil"/>
              <w:left w:val="nil"/>
              <w:bottom w:val="nil"/>
              <w:right w:val="nil"/>
            </w:tcBorders>
            <w:shd w:val="clear" w:color="auto" w:fill="auto"/>
            <w:noWrap/>
            <w:vAlign w:val="center"/>
            <w:hideMark/>
          </w:tcPr>
          <w:p w14:paraId="3219EF91" w14:textId="456F7AAA"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13.2</w:t>
            </w:r>
          </w:p>
        </w:tc>
      </w:tr>
      <w:tr w:rsidR="00BE7165" w:rsidRPr="00FC4688" w14:paraId="10FB4E84" w14:textId="34D575C0" w:rsidTr="007D65EB">
        <w:trPr>
          <w:trHeight w:val="252"/>
          <w:jc w:val="center"/>
        </w:trPr>
        <w:tc>
          <w:tcPr>
            <w:tcW w:w="3164" w:type="dxa"/>
            <w:tcBorders>
              <w:top w:val="nil"/>
              <w:left w:val="nil"/>
              <w:bottom w:val="nil"/>
              <w:right w:val="nil"/>
            </w:tcBorders>
            <w:shd w:val="clear" w:color="auto" w:fill="auto"/>
            <w:noWrap/>
            <w:vAlign w:val="center"/>
            <w:hideMark/>
          </w:tcPr>
          <w:p w14:paraId="63E596BB" w14:textId="77777777" w:rsidR="00BE7165" w:rsidRPr="00FC4688" w:rsidRDefault="00BE7165" w:rsidP="00BE7165">
            <w:pPr>
              <w:rPr>
                <w:rFonts w:eastAsia="Times New Roman" w:cs="Times New Roman"/>
                <w:b/>
                <w:bCs/>
                <w:color w:val="000000"/>
                <w:sz w:val="16"/>
                <w:szCs w:val="16"/>
                <w:lang w:eastAsia="es-GT"/>
              </w:rPr>
            </w:pPr>
            <w:r w:rsidRPr="00FC4688">
              <w:rPr>
                <w:rFonts w:eastAsia="Times New Roman" w:cs="Times New Roman"/>
                <w:b/>
                <w:bCs/>
                <w:color w:val="000000"/>
                <w:sz w:val="16"/>
                <w:szCs w:val="16"/>
                <w:lang w:eastAsia="es-GT"/>
              </w:rPr>
              <w:t>GASTO</w:t>
            </w:r>
          </w:p>
        </w:tc>
        <w:tc>
          <w:tcPr>
            <w:tcW w:w="861" w:type="dxa"/>
            <w:tcBorders>
              <w:top w:val="nil"/>
              <w:left w:val="nil"/>
              <w:bottom w:val="nil"/>
              <w:right w:val="nil"/>
            </w:tcBorders>
            <w:shd w:val="clear" w:color="auto" w:fill="auto"/>
            <w:noWrap/>
            <w:vAlign w:val="center"/>
            <w:hideMark/>
          </w:tcPr>
          <w:p w14:paraId="79D45ED2" w14:textId="7DBEA9FC" w:rsidR="00BE7165" w:rsidRPr="00BE7165" w:rsidRDefault="00BE7165" w:rsidP="00BE7165">
            <w:pPr>
              <w:jc w:val="center"/>
              <w:rPr>
                <w:rFonts w:eastAsia="Times New Roman" w:cs="Times New Roman"/>
                <w:b/>
                <w:bCs/>
                <w:color w:val="000000"/>
                <w:sz w:val="16"/>
                <w:szCs w:val="16"/>
                <w:lang w:eastAsia="es-GT"/>
              </w:rPr>
            </w:pPr>
            <w:r w:rsidRPr="00BE7165">
              <w:rPr>
                <w:b/>
                <w:bCs/>
                <w:color w:val="000000"/>
                <w:sz w:val="16"/>
                <w:szCs w:val="16"/>
              </w:rPr>
              <w:t>45,195.2</w:t>
            </w:r>
          </w:p>
        </w:tc>
        <w:tc>
          <w:tcPr>
            <w:tcW w:w="861" w:type="dxa"/>
            <w:tcBorders>
              <w:top w:val="nil"/>
              <w:left w:val="nil"/>
              <w:bottom w:val="nil"/>
              <w:right w:val="nil"/>
            </w:tcBorders>
            <w:shd w:val="clear" w:color="auto" w:fill="auto"/>
            <w:noWrap/>
            <w:vAlign w:val="center"/>
            <w:hideMark/>
          </w:tcPr>
          <w:p w14:paraId="634684CA" w14:textId="1C1DA764" w:rsidR="00BE7165" w:rsidRPr="00BE7165" w:rsidRDefault="00BE7165" w:rsidP="00BE7165">
            <w:pPr>
              <w:jc w:val="center"/>
              <w:rPr>
                <w:rFonts w:eastAsia="Times New Roman" w:cs="Times New Roman"/>
                <w:b/>
                <w:bCs/>
                <w:color w:val="000000"/>
                <w:sz w:val="16"/>
                <w:szCs w:val="16"/>
                <w:lang w:eastAsia="es-GT"/>
              </w:rPr>
            </w:pPr>
            <w:r w:rsidRPr="00BE7165">
              <w:rPr>
                <w:b/>
                <w:bCs/>
                <w:color w:val="000000"/>
                <w:sz w:val="16"/>
                <w:szCs w:val="16"/>
              </w:rPr>
              <w:t>52,552.4</w:t>
            </w:r>
          </w:p>
        </w:tc>
        <w:tc>
          <w:tcPr>
            <w:tcW w:w="861" w:type="dxa"/>
            <w:tcBorders>
              <w:top w:val="nil"/>
              <w:left w:val="dotDash" w:sz="4" w:space="0" w:color="auto"/>
              <w:bottom w:val="nil"/>
              <w:right w:val="nil"/>
            </w:tcBorders>
            <w:shd w:val="clear" w:color="auto" w:fill="auto"/>
            <w:noWrap/>
            <w:vAlign w:val="center"/>
            <w:hideMark/>
          </w:tcPr>
          <w:p w14:paraId="236125CE" w14:textId="224B710D" w:rsidR="00BE7165" w:rsidRPr="00BE7165" w:rsidRDefault="00BE7165" w:rsidP="00BE7165">
            <w:pPr>
              <w:jc w:val="center"/>
              <w:rPr>
                <w:rFonts w:eastAsia="Times New Roman" w:cs="Times New Roman"/>
                <w:b/>
                <w:bCs/>
                <w:color w:val="000000"/>
                <w:sz w:val="16"/>
                <w:szCs w:val="16"/>
                <w:lang w:eastAsia="es-GT"/>
              </w:rPr>
            </w:pPr>
            <w:r w:rsidRPr="00BE7165">
              <w:rPr>
                <w:b/>
                <w:bCs/>
                <w:color w:val="000000"/>
                <w:sz w:val="16"/>
                <w:szCs w:val="16"/>
              </w:rPr>
              <w:t>7,357.1</w:t>
            </w:r>
          </w:p>
        </w:tc>
        <w:tc>
          <w:tcPr>
            <w:tcW w:w="906" w:type="dxa"/>
            <w:tcBorders>
              <w:top w:val="nil"/>
              <w:left w:val="nil"/>
              <w:bottom w:val="nil"/>
              <w:right w:val="nil"/>
            </w:tcBorders>
            <w:shd w:val="clear" w:color="auto" w:fill="auto"/>
            <w:noWrap/>
            <w:vAlign w:val="center"/>
            <w:hideMark/>
          </w:tcPr>
          <w:p w14:paraId="60F4234E" w14:textId="0D7F3D00" w:rsidR="00BE7165" w:rsidRPr="00BE7165" w:rsidRDefault="00BE7165" w:rsidP="00BE7165">
            <w:pPr>
              <w:jc w:val="center"/>
              <w:rPr>
                <w:rFonts w:eastAsia="Times New Roman" w:cs="Times New Roman"/>
                <w:b/>
                <w:bCs/>
                <w:color w:val="000000"/>
                <w:sz w:val="16"/>
                <w:szCs w:val="16"/>
                <w:lang w:eastAsia="es-GT"/>
              </w:rPr>
            </w:pPr>
            <w:r w:rsidRPr="00BE7165">
              <w:rPr>
                <w:b/>
                <w:bCs/>
                <w:color w:val="000000"/>
                <w:sz w:val="16"/>
                <w:szCs w:val="16"/>
              </w:rPr>
              <w:t>16.3</w:t>
            </w:r>
          </w:p>
        </w:tc>
      </w:tr>
      <w:tr w:rsidR="00BE7165" w:rsidRPr="00FC4688" w14:paraId="461F9122" w14:textId="73A51B27" w:rsidTr="007D65EB">
        <w:trPr>
          <w:trHeight w:val="252"/>
          <w:jc w:val="center"/>
        </w:trPr>
        <w:tc>
          <w:tcPr>
            <w:tcW w:w="3164" w:type="dxa"/>
            <w:tcBorders>
              <w:top w:val="nil"/>
              <w:left w:val="nil"/>
              <w:bottom w:val="nil"/>
              <w:right w:val="nil"/>
            </w:tcBorders>
            <w:shd w:val="clear" w:color="auto" w:fill="auto"/>
            <w:noWrap/>
            <w:vAlign w:val="center"/>
            <w:hideMark/>
          </w:tcPr>
          <w:p w14:paraId="13FFD601" w14:textId="77777777" w:rsidR="00BE7165" w:rsidRPr="00FC4688" w:rsidRDefault="00BE7165" w:rsidP="00BE7165">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 xml:space="preserve">Remuneración a los empleados </w:t>
            </w:r>
          </w:p>
        </w:tc>
        <w:tc>
          <w:tcPr>
            <w:tcW w:w="861" w:type="dxa"/>
            <w:tcBorders>
              <w:top w:val="nil"/>
              <w:left w:val="nil"/>
              <w:bottom w:val="nil"/>
              <w:right w:val="nil"/>
            </w:tcBorders>
            <w:shd w:val="clear" w:color="auto" w:fill="auto"/>
            <w:noWrap/>
            <w:vAlign w:val="center"/>
            <w:hideMark/>
          </w:tcPr>
          <w:p w14:paraId="58C192BE" w14:textId="5E9F9615"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14,599.1</w:t>
            </w:r>
          </w:p>
        </w:tc>
        <w:tc>
          <w:tcPr>
            <w:tcW w:w="861" w:type="dxa"/>
            <w:tcBorders>
              <w:top w:val="nil"/>
              <w:left w:val="nil"/>
              <w:bottom w:val="nil"/>
              <w:right w:val="nil"/>
            </w:tcBorders>
            <w:shd w:val="clear" w:color="auto" w:fill="auto"/>
            <w:noWrap/>
            <w:vAlign w:val="center"/>
            <w:hideMark/>
          </w:tcPr>
          <w:p w14:paraId="15276D93" w14:textId="5B4862EC"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16,464.6</w:t>
            </w:r>
          </w:p>
        </w:tc>
        <w:tc>
          <w:tcPr>
            <w:tcW w:w="861" w:type="dxa"/>
            <w:tcBorders>
              <w:top w:val="nil"/>
              <w:left w:val="dotDash" w:sz="4" w:space="0" w:color="auto"/>
              <w:bottom w:val="nil"/>
              <w:right w:val="nil"/>
            </w:tcBorders>
            <w:shd w:val="clear" w:color="auto" w:fill="auto"/>
            <w:noWrap/>
            <w:vAlign w:val="center"/>
            <w:hideMark/>
          </w:tcPr>
          <w:p w14:paraId="24A35F1F" w14:textId="5FF6CF71"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1,865.6</w:t>
            </w:r>
          </w:p>
        </w:tc>
        <w:tc>
          <w:tcPr>
            <w:tcW w:w="906" w:type="dxa"/>
            <w:tcBorders>
              <w:top w:val="nil"/>
              <w:left w:val="nil"/>
              <w:bottom w:val="nil"/>
              <w:right w:val="nil"/>
            </w:tcBorders>
            <w:shd w:val="clear" w:color="auto" w:fill="auto"/>
            <w:noWrap/>
            <w:vAlign w:val="center"/>
            <w:hideMark/>
          </w:tcPr>
          <w:p w14:paraId="2A84DD03" w14:textId="626315F5"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12.8</w:t>
            </w:r>
          </w:p>
        </w:tc>
      </w:tr>
      <w:tr w:rsidR="00BE7165" w:rsidRPr="00FC4688" w14:paraId="763002C0" w14:textId="7834390E" w:rsidTr="007D65EB">
        <w:trPr>
          <w:trHeight w:val="252"/>
          <w:jc w:val="center"/>
        </w:trPr>
        <w:tc>
          <w:tcPr>
            <w:tcW w:w="3164" w:type="dxa"/>
            <w:tcBorders>
              <w:top w:val="nil"/>
              <w:left w:val="nil"/>
              <w:bottom w:val="nil"/>
              <w:right w:val="nil"/>
            </w:tcBorders>
            <w:shd w:val="clear" w:color="auto" w:fill="auto"/>
            <w:noWrap/>
            <w:vAlign w:val="center"/>
            <w:hideMark/>
          </w:tcPr>
          <w:p w14:paraId="440FA569" w14:textId="77777777" w:rsidR="00BE7165" w:rsidRPr="00FC4688" w:rsidRDefault="00BE7165" w:rsidP="00BE7165">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 xml:space="preserve">Uso de bienes y servicios  </w:t>
            </w:r>
          </w:p>
        </w:tc>
        <w:tc>
          <w:tcPr>
            <w:tcW w:w="861" w:type="dxa"/>
            <w:tcBorders>
              <w:top w:val="nil"/>
              <w:left w:val="nil"/>
              <w:bottom w:val="nil"/>
              <w:right w:val="nil"/>
            </w:tcBorders>
            <w:shd w:val="clear" w:color="auto" w:fill="auto"/>
            <w:noWrap/>
            <w:vAlign w:val="center"/>
            <w:hideMark/>
          </w:tcPr>
          <w:p w14:paraId="274981BE" w14:textId="6AC3A727"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5,388.4</w:t>
            </w:r>
          </w:p>
        </w:tc>
        <w:tc>
          <w:tcPr>
            <w:tcW w:w="861" w:type="dxa"/>
            <w:tcBorders>
              <w:top w:val="nil"/>
              <w:left w:val="nil"/>
              <w:bottom w:val="nil"/>
              <w:right w:val="nil"/>
            </w:tcBorders>
            <w:shd w:val="clear" w:color="auto" w:fill="auto"/>
            <w:noWrap/>
            <w:vAlign w:val="center"/>
            <w:hideMark/>
          </w:tcPr>
          <w:p w14:paraId="4A030C45" w14:textId="1A5A374B"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8,073.9</w:t>
            </w:r>
          </w:p>
        </w:tc>
        <w:tc>
          <w:tcPr>
            <w:tcW w:w="861" w:type="dxa"/>
            <w:tcBorders>
              <w:top w:val="nil"/>
              <w:left w:val="dotDash" w:sz="4" w:space="0" w:color="auto"/>
              <w:bottom w:val="nil"/>
              <w:right w:val="nil"/>
            </w:tcBorders>
            <w:shd w:val="clear" w:color="auto" w:fill="auto"/>
            <w:noWrap/>
            <w:vAlign w:val="center"/>
            <w:hideMark/>
          </w:tcPr>
          <w:p w14:paraId="71FAA062" w14:textId="5518E7CF"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2,685.5</w:t>
            </w:r>
          </w:p>
        </w:tc>
        <w:tc>
          <w:tcPr>
            <w:tcW w:w="906" w:type="dxa"/>
            <w:tcBorders>
              <w:top w:val="nil"/>
              <w:left w:val="nil"/>
              <w:bottom w:val="nil"/>
              <w:right w:val="nil"/>
            </w:tcBorders>
            <w:shd w:val="clear" w:color="auto" w:fill="auto"/>
            <w:noWrap/>
            <w:vAlign w:val="center"/>
            <w:hideMark/>
          </w:tcPr>
          <w:p w14:paraId="36E7D054" w14:textId="0ABD6176"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49.8</w:t>
            </w:r>
          </w:p>
        </w:tc>
      </w:tr>
      <w:tr w:rsidR="00BE7165" w:rsidRPr="00FC4688" w14:paraId="59EDB4D0" w14:textId="084FA0BF" w:rsidTr="007D65EB">
        <w:trPr>
          <w:trHeight w:val="252"/>
          <w:jc w:val="center"/>
        </w:trPr>
        <w:tc>
          <w:tcPr>
            <w:tcW w:w="3164" w:type="dxa"/>
            <w:tcBorders>
              <w:top w:val="nil"/>
              <w:left w:val="nil"/>
              <w:bottom w:val="nil"/>
              <w:right w:val="nil"/>
            </w:tcBorders>
            <w:shd w:val="clear" w:color="auto" w:fill="auto"/>
            <w:noWrap/>
            <w:vAlign w:val="center"/>
            <w:hideMark/>
          </w:tcPr>
          <w:p w14:paraId="2AE67098" w14:textId="77777777" w:rsidR="00BE7165" w:rsidRPr="00FC4688" w:rsidRDefault="00BE7165" w:rsidP="00BE7165">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 xml:space="preserve">Intereses </w:t>
            </w:r>
          </w:p>
        </w:tc>
        <w:tc>
          <w:tcPr>
            <w:tcW w:w="861" w:type="dxa"/>
            <w:tcBorders>
              <w:top w:val="nil"/>
              <w:left w:val="nil"/>
              <w:bottom w:val="nil"/>
              <w:right w:val="nil"/>
            </w:tcBorders>
            <w:shd w:val="clear" w:color="auto" w:fill="auto"/>
            <w:noWrap/>
            <w:vAlign w:val="center"/>
            <w:hideMark/>
          </w:tcPr>
          <w:p w14:paraId="657A3FF9" w14:textId="16EF39C8"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5,808.0</w:t>
            </w:r>
          </w:p>
        </w:tc>
        <w:tc>
          <w:tcPr>
            <w:tcW w:w="861" w:type="dxa"/>
            <w:tcBorders>
              <w:top w:val="nil"/>
              <w:left w:val="nil"/>
              <w:bottom w:val="nil"/>
              <w:right w:val="nil"/>
            </w:tcBorders>
            <w:shd w:val="clear" w:color="auto" w:fill="auto"/>
            <w:noWrap/>
            <w:vAlign w:val="center"/>
            <w:hideMark/>
          </w:tcPr>
          <w:p w14:paraId="1DF51B9C" w14:textId="74CF6959"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6,353.2</w:t>
            </w:r>
          </w:p>
        </w:tc>
        <w:tc>
          <w:tcPr>
            <w:tcW w:w="861" w:type="dxa"/>
            <w:tcBorders>
              <w:top w:val="nil"/>
              <w:left w:val="dotDash" w:sz="4" w:space="0" w:color="auto"/>
              <w:bottom w:val="nil"/>
              <w:right w:val="nil"/>
            </w:tcBorders>
            <w:shd w:val="clear" w:color="auto" w:fill="auto"/>
            <w:noWrap/>
            <w:vAlign w:val="center"/>
            <w:hideMark/>
          </w:tcPr>
          <w:p w14:paraId="5F30F594" w14:textId="0A620DB1"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545.2</w:t>
            </w:r>
          </w:p>
        </w:tc>
        <w:tc>
          <w:tcPr>
            <w:tcW w:w="906" w:type="dxa"/>
            <w:tcBorders>
              <w:top w:val="nil"/>
              <w:left w:val="nil"/>
              <w:bottom w:val="nil"/>
              <w:right w:val="nil"/>
            </w:tcBorders>
            <w:shd w:val="clear" w:color="auto" w:fill="auto"/>
            <w:noWrap/>
            <w:vAlign w:val="center"/>
            <w:hideMark/>
          </w:tcPr>
          <w:p w14:paraId="744A1AA9" w14:textId="0B248F0F"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9.4</w:t>
            </w:r>
          </w:p>
        </w:tc>
      </w:tr>
      <w:tr w:rsidR="00BE7165" w:rsidRPr="00FC4688" w14:paraId="4F52C47F" w14:textId="52E7ED7E" w:rsidTr="007D65EB">
        <w:trPr>
          <w:trHeight w:val="252"/>
          <w:jc w:val="center"/>
        </w:trPr>
        <w:tc>
          <w:tcPr>
            <w:tcW w:w="3164" w:type="dxa"/>
            <w:tcBorders>
              <w:top w:val="nil"/>
              <w:left w:val="nil"/>
              <w:bottom w:val="nil"/>
              <w:right w:val="nil"/>
            </w:tcBorders>
            <w:shd w:val="clear" w:color="auto" w:fill="auto"/>
            <w:noWrap/>
            <w:vAlign w:val="center"/>
            <w:hideMark/>
          </w:tcPr>
          <w:p w14:paraId="0F3E6D4D" w14:textId="77777777" w:rsidR="00BE7165" w:rsidRPr="00FC4688" w:rsidRDefault="00BE7165" w:rsidP="00BE7165">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 xml:space="preserve">Subsidios </w:t>
            </w:r>
          </w:p>
        </w:tc>
        <w:tc>
          <w:tcPr>
            <w:tcW w:w="861" w:type="dxa"/>
            <w:tcBorders>
              <w:top w:val="nil"/>
              <w:left w:val="nil"/>
              <w:bottom w:val="nil"/>
              <w:right w:val="nil"/>
            </w:tcBorders>
            <w:shd w:val="clear" w:color="auto" w:fill="auto"/>
            <w:noWrap/>
            <w:vAlign w:val="center"/>
            <w:hideMark/>
          </w:tcPr>
          <w:p w14:paraId="68F3DF5D" w14:textId="17A331D2"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1,680.6</w:t>
            </w:r>
          </w:p>
        </w:tc>
        <w:tc>
          <w:tcPr>
            <w:tcW w:w="861" w:type="dxa"/>
            <w:tcBorders>
              <w:top w:val="nil"/>
              <w:left w:val="nil"/>
              <w:bottom w:val="nil"/>
              <w:right w:val="nil"/>
            </w:tcBorders>
            <w:shd w:val="clear" w:color="auto" w:fill="auto"/>
            <w:noWrap/>
            <w:vAlign w:val="center"/>
            <w:hideMark/>
          </w:tcPr>
          <w:p w14:paraId="6ECCDC0F" w14:textId="2544A214"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592.6</w:t>
            </w:r>
          </w:p>
        </w:tc>
        <w:tc>
          <w:tcPr>
            <w:tcW w:w="861" w:type="dxa"/>
            <w:tcBorders>
              <w:top w:val="nil"/>
              <w:left w:val="dotDash" w:sz="4" w:space="0" w:color="auto"/>
              <w:bottom w:val="nil"/>
              <w:right w:val="nil"/>
            </w:tcBorders>
            <w:shd w:val="clear" w:color="auto" w:fill="auto"/>
            <w:noWrap/>
            <w:vAlign w:val="center"/>
            <w:hideMark/>
          </w:tcPr>
          <w:p w14:paraId="44230D28" w14:textId="15273443"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-1,088.0</w:t>
            </w:r>
          </w:p>
        </w:tc>
        <w:tc>
          <w:tcPr>
            <w:tcW w:w="906" w:type="dxa"/>
            <w:tcBorders>
              <w:top w:val="nil"/>
              <w:left w:val="nil"/>
              <w:bottom w:val="nil"/>
              <w:right w:val="nil"/>
            </w:tcBorders>
            <w:shd w:val="clear" w:color="auto" w:fill="auto"/>
            <w:noWrap/>
            <w:vAlign w:val="center"/>
            <w:hideMark/>
          </w:tcPr>
          <w:p w14:paraId="0FBC8BFB" w14:textId="2C329A64"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-64.7</w:t>
            </w:r>
          </w:p>
        </w:tc>
      </w:tr>
      <w:tr w:rsidR="00BE7165" w:rsidRPr="00FC4688" w14:paraId="1F5BC8D0" w14:textId="0482C69D" w:rsidTr="007D65EB">
        <w:trPr>
          <w:trHeight w:val="252"/>
          <w:jc w:val="center"/>
        </w:trPr>
        <w:tc>
          <w:tcPr>
            <w:tcW w:w="3164" w:type="dxa"/>
            <w:tcBorders>
              <w:top w:val="nil"/>
              <w:left w:val="nil"/>
              <w:bottom w:val="nil"/>
              <w:right w:val="nil"/>
            </w:tcBorders>
            <w:shd w:val="clear" w:color="auto" w:fill="auto"/>
            <w:noWrap/>
            <w:vAlign w:val="center"/>
            <w:hideMark/>
          </w:tcPr>
          <w:p w14:paraId="35490B56" w14:textId="77777777" w:rsidR="00BE7165" w:rsidRPr="00FC4688" w:rsidRDefault="00BE7165" w:rsidP="00BE7165">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 xml:space="preserve">Donaciones </w:t>
            </w:r>
          </w:p>
        </w:tc>
        <w:tc>
          <w:tcPr>
            <w:tcW w:w="861" w:type="dxa"/>
            <w:tcBorders>
              <w:top w:val="nil"/>
              <w:left w:val="nil"/>
              <w:bottom w:val="nil"/>
              <w:right w:val="nil"/>
            </w:tcBorders>
            <w:shd w:val="clear" w:color="auto" w:fill="auto"/>
            <w:noWrap/>
            <w:vAlign w:val="center"/>
            <w:hideMark/>
          </w:tcPr>
          <w:p w14:paraId="4E44BBDB" w14:textId="0A69B66B"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11,426.9</w:t>
            </w:r>
          </w:p>
        </w:tc>
        <w:tc>
          <w:tcPr>
            <w:tcW w:w="861" w:type="dxa"/>
            <w:tcBorders>
              <w:top w:val="nil"/>
              <w:left w:val="nil"/>
              <w:bottom w:val="nil"/>
              <w:right w:val="nil"/>
            </w:tcBorders>
            <w:shd w:val="clear" w:color="auto" w:fill="auto"/>
            <w:noWrap/>
            <w:vAlign w:val="center"/>
            <w:hideMark/>
          </w:tcPr>
          <w:p w14:paraId="3DE7A3B0" w14:textId="3C1DCB01"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13,192.7</w:t>
            </w:r>
          </w:p>
        </w:tc>
        <w:tc>
          <w:tcPr>
            <w:tcW w:w="861" w:type="dxa"/>
            <w:tcBorders>
              <w:top w:val="nil"/>
              <w:left w:val="dotDash" w:sz="4" w:space="0" w:color="auto"/>
              <w:bottom w:val="nil"/>
              <w:right w:val="nil"/>
            </w:tcBorders>
            <w:shd w:val="clear" w:color="auto" w:fill="auto"/>
            <w:noWrap/>
            <w:vAlign w:val="center"/>
            <w:hideMark/>
          </w:tcPr>
          <w:p w14:paraId="7A7F7CB0" w14:textId="01595EDD"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1,765.8</w:t>
            </w:r>
          </w:p>
        </w:tc>
        <w:tc>
          <w:tcPr>
            <w:tcW w:w="906" w:type="dxa"/>
            <w:tcBorders>
              <w:top w:val="nil"/>
              <w:left w:val="nil"/>
              <w:bottom w:val="nil"/>
              <w:right w:val="nil"/>
            </w:tcBorders>
            <w:shd w:val="clear" w:color="auto" w:fill="auto"/>
            <w:noWrap/>
            <w:vAlign w:val="center"/>
            <w:hideMark/>
          </w:tcPr>
          <w:p w14:paraId="07DF5F68" w14:textId="734EC68B"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15.5</w:t>
            </w:r>
          </w:p>
        </w:tc>
      </w:tr>
      <w:tr w:rsidR="00BE7165" w:rsidRPr="00FC4688" w14:paraId="6A4F1395" w14:textId="2D8A8ED3" w:rsidTr="007D65EB">
        <w:trPr>
          <w:trHeight w:val="252"/>
          <w:jc w:val="center"/>
        </w:trPr>
        <w:tc>
          <w:tcPr>
            <w:tcW w:w="3164" w:type="dxa"/>
            <w:tcBorders>
              <w:top w:val="nil"/>
              <w:left w:val="nil"/>
              <w:bottom w:val="nil"/>
              <w:right w:val="nil"/>
            </w:tcBorders>
            <w:shd w:val="clear" w:color="auto" w:fill="auto"/>
            <w:noWrap/>
            <w:vAlign w:val="center"/>
            <w:hideMark/>
          </w:tcPr>
          <w:p w14:paraId="1F33979A" w14:textId="77777777" w:rsidR="00BE7165" w:rsidRPr="00FC4688" w:rsidRDefault="00BE7165" w:rsidP="00BE7165">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 xml:space="preserve">Prestaciones sociales </w:t>
            </w:r>
          </w:p>
        </w:tc>
        <w:tc>
          <w:tcPr>
            <w:tcW w:w="861" w:type="dxa"/>
            <w:tcBorders>
              <w:top w:val="nil"/>
              <w:left w:val="nil"/>
              <w:bottom w:val="nil"/>
              <w:right w:val="nil"/>
            </w:tcBorders>
            <w:shd w:val="clear" w:color="auto" w:fill="auto"/>
            <w:noWrap/>
            <w:vAlign w:val="center"/>
            <w:hideMark/>
          </w:tcPr>
          <w:p w14:paraId="194B9FBA" w14:textId="67C8B526"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2,890.5</w:t>
            </w:r>
          </w:p>
        </w:tc>
        <w:tc>
          <w:tcPr>
            <w:tcW w:w="861" w:type="dxa"/>
            <w:tcBorders>
              <w:top w:val="nil"/>
              <w:left w:val="nil"/>
              <w:bottom w:val="nil"/>
              <w:right w:val="nil"/>
            </w:tcBorders>
            <w:shd w:val="clear" w:color="auto" w:fill="auto"/>
            <w:noWrap/>
            <w:vAlign w:val="center"/>
            <w:hideMark/>
          </w:tcPr>
          <w:p w14:paraId="053B5F91" w14:textId="686D3415"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3,487.2</w:t>
            </w:r>
          </w:p>
        </w:tc>
        <w:tc>
          <w:tcPr>
            <w:tcW w:w="861" w:type="dxa"/>
            <w:tcBorders>
              <w:top w:val="nil"/>
              <w:left w:val="dotDash" w:sz="4" w:space="0" w:color="auto"/>
              <w:bottom w:val="nil"/>
              <w:right w:val="nil"/>
            </w:tcBorders>
            <w:shd w:val="clear" w:color="auto" w:fill="auto"/>
            <w:noWrap/>
            <w:vAlign w:val="center"/>
            <w:hideMark/>
          </w:tcPr>
          <w:p w14:paraId="51CDEB9B" w14:textId="3D53F171"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596.7</w:t>
            </w:r>
          </w:p>
        </w:tc>
        <w:tc>
          <w:tcPr>
            <w:tcW w:w="906" w:type="dxa"/>
            <w:tcBorders>
              <w:top w:val="nil"/>
              <w:left w:val="nil"/>
              <w:bottom w:val="nil"/>
              <w:right w:val="nil"/>
            </w:tcBorders>
            <w:shd w:val="clear" w:color="auto" w:fill="auto"/>
            <w:noWrap/>
            <w:vAlign w:val="center"/>
            <w:hideMark/>
          </w:tcPr>
          <w:p w14:paraId="63D48068" w14:textId="4E358CA1"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20.6</w:t>
            </w:r>
          </w:p>
        </w:tc>
      </w:tr>
      <w:tr w:rsidR="00BE7165" w:rsidRPr="00FC4688" w14:paraId="2C09391E" w14:textId="60780AB2" w:rsidTr="007D65EB">
        <w:trPr>
          <w:trHeight w:val="252"/>
          <w:jc w:val="center"/>
        </w:trPr>
        <w:tc>
          <w:tcPr>
            <w:tcW w:w="3164" w:type="dxa"/>
            <w:tcBorders>
              <w:top w:val="nil"/>
              <w:left w:val="nil"/>
              <w:bottom w:val="nil"/>
              <w:right w:val="nil"/>
            </w:tcBorders>
            <w:shd w:val="clear" w:color="auto" w:fill="auto"/>
            <w:noWrap/>
            <w:vAlign w:val="center"/>
            <w:hideMark/>
          </w:tcPr>
          <w:p w14:paraId="76AF3A5B" w14:textId="77777777" w:rsidR="00BE7165" w:rsidRPr="00FC4688" w:rsidRDefault="00BE7165" w:rsidP="00BE7165">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 xml:space="preserve">Otros gastos </w:t>
            </w:r>
          </w:p>
        </w:tc>
        <w:tc>
          <w:tcPr>
            <w:tcW w:w="861" w:type="dxa"/>
            <w:tcBorders>
              <w:top w:val="nil"/>
              <w:left w:val="nil"/>
              <w:bottom w:val="nil"/>
              <w:right w:val="nil"/>
            </w:tcBorders>
            <w:shd w:val="clear" w:color="auto" w:fill="auto"/>
            <w:noWrap/>
            <w:vAlign w:val="center"/>
            <w:hideMark/>
          </w:tcPr>
          <w:p w14:paraId="3B5E9F3C" w14:textId="5C3E6154"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3,401.7</w:t>
            </w:r>
          </w:p>
        </w:tc>
        <w:tc>
          <w:tcPr>
            <w:tcW w:w="861" w:type="dxa"/>
            <w:tcBorders>
              <w:top w:val="nil"/>
              <w:left w:val="nil"/>
              <w:bottom w:val="nil"/>
              <w:right w:val="nil"/>
            </w:tcBorders>
            <w:shd w:val="clear" w:color="auto" w:fill="auto"/>
            <w:noWrap/>
            <w:vAlign w:val="center"/>
            <w:hideMark/>
          </w:tcPr>
          <w:p w14:paraId="380F831C" w14:textId="15B734E7"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4,388.1</w:t>
            </w:r>
          </w:p>
        </w:tc>
        <w:tc>
          <w:tcPr>
            <w:tcW w:w="861" w:type="dxa"/>
            <w:tcBorders>
              <w:top w:val="nil"/>
              <w:left w:val="dotDash" w:sz="4" w:space="0" w:color="auto"/>
              <w:bottom w:val="nil"/>
              <w:right w:val="nil"/>
            </w:tcBorders>
            <w:shd w:val="clear" w:color="auto" w:fill="auto"/>
            <w:noWrap/>
            <w:vAlign w:val="center"/>
            <w:hideMark/>
          </w:tcPr>
          <w:p w14:paraId="4625997F" w14:textId="1DA4DD50"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986.3</w:t>
            </w:r>
          </w:p>
        </w:tc>
        <w:tc>
          <w:tcPr>
            <w:tcW w:w="906" w:type="dxa"/>
            <w:tcBorders>
              <w:top w:val="nil"/>
              <w:left w:val="nil"/>
              <w:bottom w:val="nil"/>
              <w:right w:val="nil"/>
            </w:tcBorders>
            <w:shd w:val="clear" w:color="auto" w:fill="auto"/>
            <w:noWrap/>
            <w:vAlign w:val="center"/>
            <w:hideMark/>
          </w:tcPr>
          <w:p w14:paraId="2B7E6C30" w14:textId="7DDF7449" w:rsidR="00BE7165" w:rsidRPr="00BE7165" w:rsidRDefault="00BE7165" w:rsidP="00BE7165">
            <w:pPr>
              <w:jc w:val="center"/>
              <w:rPr>
                <w:rFonts w:eastAsia="Times New Roman" w:cs="Times New Roman"/>
                <w:color w:val="000000"/>
                <w:sz w:val="16"/>
                <w:szCs w:val="16"/>
                <w:lang w:eastAsia="es-GT"/>
              </w:rPr>
            </w:pPr>
            <w:r w:rsidRPr="00BE7165">
              <w:rPr>
                <w:color w:val="000000"/>
                <w:sz w:val="16"/>
                <w:szCs w:val="16"/>
              </w:rPr>
              <w:t>29.0</w:t>
            </w:r>
          </w:p>
        </w:tc>
      </w:tr>
      <w:tr w:rsidR="00BE7165" w:rsidRPr="00FC4688" w14:paraId="4035D0FD" w14:textId="5440332B" w:rsidTr="007D65EB">
        <w:trPr>
          <w:trHeight w:val="252"/>
          <w:jc w:val="center"/>
        </w:trPr>
        <w:tc>
          <w:tcPr>
            <w:tcW w:w="3164" w:type="dxa"/>
            <w:tcBorders>
              <w:top w:val="nil"/>
              <w:left w:val="nil"/>
              <w:bottom w:val="nil"/>
              <w:right w:val="nil"/>
            </w:tcBorders>
            <w:shd w:val="clear" w:color="auto" w:fill="auto"/>
            <w:noWrap/>
            <w:vAlign w:val="center"/>
            <w:hideMark/>
          </w:tcPr>
          <w:p w14:paraId="78E0F8E7" w14:textId="77777777" w:rsidR="00BE7165" w:rsidRPr="00FC4688" w:rsidRDefault="00BE7165" w:rsidP="00BE7165">
            <w:pPr>
              <w:rPr>
                <w:rFonts w:eastAsia="Times New Roman" w:cs="Times New Roman"/>
                <w:b/>
                <w:bCs/>
                <w:color w:val="000000"/>
                <w:sz w:val="16"/>
                <w:szCs w:val="16"/>
                <w:lang w:eastAsia="es-GT"/>
              </w:rPr>
            </w:pPr>
            <w:r w:rsidRPr="00FC4688">
              <w:rPr>
                <w:rFonts w:eastAsia="Times New Roman" w:cs="Times New Roman"/>
                <w:b/>
                <w:bCs/>
                <w:color w:val="000000"/>
                <w:sz w:val="16"/>
                <w:szCs w:val="16"/>
                <w:lang w:eastAsia="es-GT"/>
              </w:rPr>
              <w:t>Resultado Operativo Primario</w:t>
            </w:r>
          </w:p>
        </w:tc>
        <w:tc>
          <w:tcPr>
            <w:tcW w:w="861" w:type="dxa"/>
            <w:tcBorders>
              <w:top w:val="nil"/>
              <w:left w:val="nil"/>
              <w:bottom w:val="nil"/>
              <w:right w:val="nil"/>
            </w:tcBorders>
            <w:shd w:val="clear" w:color="auto" w:fill="auto"/>
            <w:noWrap/>
            <w:vAlign w:val="center"/>
            <w:hideMark/>
          </w:tcPr>
          <w:p w14:paraId="69B9C148" w14:textId="57072C2E" w:rsidR="00BE7165" w:rsidRPr="00BE7165" w:rsidRDefault="00BE7165" w:rsidP="00BE7165">
            <w:pPr>
              <w:jc w:val="center"/>
              <w:rPr>
                <w:rFonts w:eastAsia="Times New Roman" w:cs="Times New Roman"/>
                <w:b/>
                <w:bCs/>
                <w:color w:val="000000"/>
                <w:sz w:val="16"/>
                <w:szCs w:val="16"/>
                <w:lang w:eastAsia="es-GT"/>
              </w:rPr>
            </w:pPr>
            <w:r w:rsidRPr="00BE7165">
              <w:rPr>
                <w:b/>
                <w:bCs/>
                <w:color w:val="000000"/>
                <w:sz w:val="16"/>
                <w:szCs w:val="16"/>
              </w:rPr>
              <w:t>6,047.0</w:t>
            </w:r>
          </w:p>
        </w:tc>
        <w:tc>
          <w:tcPr>
            <w:tcW w:w="861" w:type="dxa"/>
            <w:tcBorders>
              <w:top w:val="nil"/>
              <w:left w:val="nil"/>
              <w:bottom w:val="nil"/>
              <w:right w:val="nil"/>
            </w:tcBorders>
            <w:shd w:val="clear" w:color="auto" w:fill="auto"/>
            <w:noWrap/>
            <w:vAlign w:val="center"/>
            <w:hideMark/>
          </w:tcPr>
          <w:p w14:paraId="1638E1AB" w14:textId="5631D2BE" w:rsidR="00BE7165" w:rsidRPr="00BE7165" w:rsidRDefault="00BE7165" w:rsidP="00BE7165">
            <w:pPr>
              <w:jc w:val="center"/>
              <w:rPr>
                <w:rFonts w:eastAsia="Times New Roman" w:cs="Times New Roman"/>
                <w:b/>
                <w:bCs/>
                <w:color w:val="000000"/>
                <w:sz w:val="16"/>
                <w:szCs w:val="16"/>
                <w:lang w:eastAsia="es-GT"/>
              </w:rPr>
            </w:pPr>
            <w:r w:rsidRPr="00BE7165">
              <w:rPr>
                <w:b/>
                <w:bCs/>
                <w:color w:val="000000"/>
                <w:sz w:val="16"/>
                <w:szCs w:val="16"/>
              </w:rPr>
              <w:t>3,702.9</w:t>
            </w:r>
          </w:p>
        </w:tc>
        <w:tc>
          <w:tcPr>
            <w:tcW w:w="861" w:type="dxa"/>
            <w:tcBorders>
              <w:top w:val="nil"/>
              <w:left w:val="dotDash" w:sz="4" w:space="0" w:color="auto"/>
              <w:bottom w:val="nil"/>
              <w:right w:val="nil"/>
            </w:tcBorders>
            <w:shd w:val="clear" w:color="auto" w:fill="auto"/>
            <w:noWrap/>
            <w:vAlign w:val="center"/>
            <w:hideMark/>
          </w:tcPr>
          <w:p w14:paraId="1F360FED" w14:textId="3F8D100F" w:rsidR="00BE7165" w:rsidRPr="00BE7165" w:rsidRDefault="00BE7165" w:rsidP="00BE7165">
            <w:pPr>
              <w:jc w:val="center"/>
              <w:rPr>
                <w:rFonts w:eastAsia="Times New Roman" w:cs="Times New Roman"/>
                <w:b/>
                <w:bCs/>
                <w:color w:val="000000"/>
                <w:sz w:val="16"/>
                <w:szCs w:val="16"/>
                <w:lang w:eastAsia="es-GT"/>
              </w:rPr>
            </w:pPr>
            <w:r w:rsidRPr="00BE7165">
              <w:rPr>
                <w:b/>
                <w:bCs/>
                <w:color w:val="000000"/>
                <w:sz w:val="16"/>
                <w:szCs w:val="16"/>
              </w:rPr>
              <w:t>-2,344.1</w:t>
            </w:r>
          </w:p>
        </w:tc>
        <w:tc>
          <w:tcPr>
            <w:tcW w:w="906" w:type="dxa"/>
            <w:tcBorders>
              <w:top w:val="nil"/>
              <w:left w:val="nil"/>
              <w:bottom w:val="nil"/>
              <w:right w:val="nil"/>
            </w:tcBorders>
            <w:shd w:val="clear" w:color="auto" w:fill="auto"/>
            <w:noWrap/>
            <w:vAlign w:val="center"/>
            <w:hideMark/>
          </w:tcPr>
          <w:p w14:paraId="780DB06A" w14:textId="2876C693" w:rsidR="00BE7165" w:rsidRPr="00BE7165" w:rsidRDefault="00BE7165" w:rsidP="00BE7165">
            <w:pPr>
              <w:jc w:val="center"/>
              <w:rPr>
                <w:rFonts w:eastAsia="Times New Roman" w:cs="Times New Roman"/>
                <w:b/>
                <w:bCs/>
                <w:color w:val="000000"/>
                <w:sz w:val="16"/>
                <w:szCs w:val="16"/>
                <w:lang w:eastAsia="es-GT"/>
              </w:rPr>
            </w:pPr>
            <w:r w:rsidRPr="00BE7165">
              <w:rPr>
                <w:b/>
                <w:bCs/>
                <w:color w:val="000000"/>
                <w:sz w:val="16"/>
                <w:szCs w:val="16"/>
              </w:rPr>
              <w:t>-38.8</w:t>
            </w:r>
          </w:p>
        </w:tc>
      </w:tr>
      <w:tr w:rsidR="00BE7165" w:rsidRPr="00FC4688" w14:paraId="2491D8E0" w14:textId="222F1EA7" w:rsidTr="007D65EB">
        <w:trPr>
          <w:trHeight w:val="264"/>
          <w:jc w:val="center"/>
        </w:trPr>
        <w:tc>
          <w:tcPr>
            <w:tcW w:w="3164" w:type="dxa"/>
            <w:tcBorders>
              <w:top w:val="nil"/>
              <w:left w:val="nil"/>
              <w:bottom w:val="nil"/>
              <w:right w:val="nil"/>
            </w:tcBorders>
            <w:shd w:val="clear" w:color="auto" w:fill="auto"/>
            <w:noWrap/>
            <w:vAlign w:val="center"/>
            <w:hideMark/>
          </w:tcPr>
          <w:p w14:paraId="6B9F44C3" w14:textId="77777777" w:rsidR="00BE7165" w:rsidRPr="00FC4688" w:rsidRDefault="00BE7165" w:rsidP="00BE7165">
            <w:pPr>
              <w:rPr>
                <w:rFonts w:eastAsia="Times New Roman" w:cs="Times New Roman"/>
                <w:b/>
                <w:bCs/>
                <w:color w:val="000000"/>
                <w:sz w:val="16"/>
                <w:szCs w:val="16"/>
                <w:lang w:eastAsia="es-GT"/>
              </w:rPr>
            </w:pPr>
            <w:r w:rsidRPr="00FC4688">
              <w:rPr>
                <w:rFonts w:eastAsia="Times New Roman" w:cs="Times New Roman"/>
                <w:b/>
                <w:bCs/>
                <w:color w:val="000000"/>
                <w:sz w:val="16"/>
                <w:szCs w:val="16"/>
                <w:lang w:eastAsia="es-GT"/>
              </w:rPr>
              <w:t>Resultado Operativo</w:t>
            </w:r>
          </w:p>
        </w:tc>
        <w:tc>
          <w:tcPr>
            <w:tcW w:w="861" w:type="dxa"/>
            <w:tcBorders>
              <w:top w:val="nil"/>
              <w:left w:val="nil"/>
              <w:bottom w:val="nil"/>
              <w:right w:val="nil"/>
            </w:tcBorders>
            <w:shd w:val="clear" w:color="auto" w:fill="auto"/>
            <w:noWrap/>
            <w:vAlign w:val="center"/>
            <w:hideMark/>
          </w:tcPr>
          <w:p w14:paraId="581DD849" w14:textId="4EEB84FF" w:rsidR="00BE7165" w:rsidRPr="00BE7165" w:rsidRDefault="00BE7165" w:rsidP="00BE7165">
            <w:pPr>
              <w:jc w:val="center"/>
              <w:rPr>
                <w:rFonts w:eastAsia="Times New Roman" w:cs="Times New Roman"/>
                <w:b/>
                <w:bCs/>
                <w:color w:val="000000"/>
                <w:sz w:val="16"/>
                <w:szCs w:val="16"/>
                <w:lang w:eastAsia="es-GT"/>
              </w:rPr>
            </w:pPr>
            <w:r w:rsidRPr="00BE7165">
              <w:rPr>
                <w:b/>
                <w:bCs/>
                <w:color w:val="000000"/>
                <w:sz w:val="16"/>
                <w:szCs w:val="16"/>
              </w:rPr>
              <w:t>239.0</w:t>
            </w:r>
          </w:p>
        </w:tc>
        <w:tc>
          <w:tcPr>
            <w:tcW w:w="861" w:type="dxa"/>
            <w:tcBorders>
              <w:top w:val="nil"/>
              <w:left w:val="nil"/>
              <w:bottom w:val="nil"/>
              <w:right w:val="nil"/>
            </w:tcBorders>
            <w:shd w:val="clear" w:color="auto" w:fill="auto"/>
            <w:noWrap/>
            <w:vAlign w:val="center"/>
            <w:hideMark/>
          </w:tcPr>
          <w:p w14:paraId="0BFF54A5" w14:textId="62932333" w:rsidR="00BE7165" w:rsidRPr="00BE7165" w:rsidRDefault="00BE7165" w:rsidP="00BE7165">
            <w:pPr>
              <w:jc w:val="center"/>
              <w:rPr>
                <w:rFonts w:eastAsia="Times New Roman" w:cs="Times New Roman"/>
                <w:b/>
                <w:bCs/>
                <w:color w:val="000000"/>
                <w:sz w:val="16"/>
                <w:szCs w:val="16"/>
                <w:lang w:eastAsia="es-GT"/>
              </w:rPr>
            </w:pPr>
            <w:r w:rsidRPr="00BE7165">
              <w:rPr>
                <w:b/>
                <w:bCs/>
                <w:color w:val="000000"/>
                <w:sz w:val="16"/>
                <w:szCs w:val="16"/>
              </w:rPr>
              <w:t>-2,650.3</w:t>
            </w:r>
          </w:p>
        </w:tc>
        <w:tc>
          <w:tcPr>
            <w:tcW w:w="861" w:type="dxa"/>
            <w:tcBorders>
              <w:top w:val="nil"/>
              <w:left w:val="dotDash" w:sz="4" w:space="0" w:color="auto"/>
              <w:bottom w:val="nil"/>
              <w:right w:val="nil"/>
            </w:tcBorders>
            <w:shd w:val="clear" w:color="auto" w:fill="auto"/>
            <w:noWrap/>
            <w:vAlign w:val="center"/>
            <w:hideMark/>
          </w:tcPr>
          <w:p w14:paraId="5D5EF589" w14:textId="231940BB" w:rsidR="00BE7165" w:rsidRPr="00BE7165" w:rsidRDefault="00BE7165" w:rsidP="00BE7165">
            <w:pPr>
              <w:jc w:val="center"/>
              <w:rPr>
                <w:rFonts w:eastAsia="Times New Roman" w:cs="Times New Roman"/>
                <w:b/>
                <w:bCs/>
                <w:color w:val="000000"/>
                <w:sz w:val="16"/>
                <w:szCs w:val="16"/>
                <w:lang w:eastAsia="es-GT"/>
              </w:rPr>
            </w:pPr>
            <w:r w:rsidRPr="00BE7165">
              <w:rPr>
                <w:b/>
                <w:bCs/>
                <w:color w:val="000000"/>
                <w:sz w:val="16"/>
                <w:szCs w:val="16"/>
              </w:rPr>
              <w:t>-2,889.3</w:t>
            </w:r>
          </w:p>
        </w:tc>
        <w:tc>
          <w:tcPr>
            <w:tcW w:w="906" w:type="dxa"/>
            <w:tcBorders>
              <w:top w:val="nil"/>
              <w:left w:val="nil"/>
              <w:bottom w:val="nil"/>
              <w:right w:val="nil"/>
            </w:tcBorders>
            <w:shd w:val="clear" w:color="auto" w:fill="auto"/>
            <w:noWrap/>
            <w:vAlign w:val="center"/>
            <w:hideMark/>
          </w:tcPr>
          <w:p w14:paraId="1EFE806F" w14:textId="7B64D54A" w:rsidR="00BE7165" w:rsidRPr="00BE7165" w:rsidRDefault="00BE7165" w:rsidP="00BE7165">
            <w:pPr>
              <w:jc w:val="center"/>
              <w:rPr>
                <w:rFonts w:eastAsia="Times New Roman" w:cs="Times New Roman"/>
                <w:b/>
                <w:bCs/>
                <w:color w:val="000000"/>
                <w:sz w:val="16"/>
                <w:szCs w:val="16"/>
                <w:lang w:eastAsia="es-GT"/>
              </w:rPr>
            </w:pPr>
            <w:r w:rsidRPr="00BE7165">
              <w:rPr>
                <w:b/>
                <w:bCs/>
                <w:color w:val="000000"/>
                <w:sz w:val="16"/>
                <w:szCs w:val="16"/>
              </w:rPr>
              <w:t>-1,209.0</w:t>
            </w:r>
          </w:p>
        </w:tc>
      </w:tr>
      <w:tr w:rsidR="00673937" w:rsidRPr="00FC4688" w14:paraId="6567B959" w14:textId="34BF3C53" w:rsidTr="007D65EB">
        <w:trPr>
          <w:trHeight w:val="264"/>
          <w:jc w:val="center"/>
        </w:trPr>
        <w:tc>
          <w:tcPr>
            <w:tcW w:w="6653" w:type="dxa"/>
            <w:gridSpan w:val="5"/>
            <w:tcBorders>
              <w:top w:val="single" w:sz="8" w:space="0" w:color="auto"/>
              <w:left w:val="nil"/>
              <w:bottom w:val="double" w:sz="6" w:space="0" w:color="auto"/>
              <w:right w:val="nil"/>
            </w:tcBorders>
            <w:shd w:val="clear" w:color="auto" w:fill="auto"/>
            <w:noWrap/>
            <w:vAlign w:val="center"/>
            <w:hideMark/>
          </w:tcPr>
          <w:p w14:paraId="0A39C5D9" w14:textId="77777777" w:rsidR="00673937" w:rsidRPr="00FC4688" w:rsidRDefault="00673937" w:rsidP="003E4789">
            <w:pPr>
              <w:rPr>
                <w:rFonts w:eastAsia="Times New Roman" w:cs="Times New Roman"/>
                <w:color w:val="4472C4"/>
                <w:sz w:val="18"/>
                <w:szCs w:val="18"/>
                <w:lang w:eastAsia="es-GT"/>
              </w:rPr>
            </w:pPr>
            <w:r w:rsidRPr="00FC4688">
              <w:rPr>
                <w:rFonts w:eastAsia="Times New Roman" w:cs="Times New Roman"/>
                <w:color w:val="4472C4"/>
                <w:sz w:val="18"/>
                <w:szCs w:val="18"/>
                <w:lang w:eastAsia="es-GT"/>
              </w:rPr>
              <w:t>TRANSACCIONES EN ACTIVOS NO FINANCIEROS</w:t>
            </w:r>
          </w:p>
        </w:tc>
      </w:tr>
      <w:tr w:rsidR="001F194A" w:rsidRPr="00FC4688" w14:paraId="084D0011" w14:textId="277EE412" w:rsidTr="007D65EB">
        <w:trPr>
          <w:trHeight w:val="264"/>
          <w:jc w:val="center"/>
        </w:trPr>
        <w:tc>
          <w:tcPr>
            <w:tcW w:w="3164" w:type="dxa"/>
            <w:tcBorders>
              <w:top w:val="nil"/>
              <w:left w:val="nil"/>
              <w:bottom w:val="nil"/>
              <w:right w:val="nil"/>
            </w:tcBorders>
            <w:shd w:val="clear" w:color="auto" w:fill="auto"/>
            <w:noWrap/>
            <w:vAlign w:val="center"/>
            <w:hideMark/>
          </w:tcPr>
          <w:p w14:paraId="573E68EB" w14:textId="77777777" w:rsidR="001F194A" w:rsidRPr="00FC4688" w:rsidRDefault="001F194A" w:rsidP="001F194A">
            <w:pPr>
              <w:rPr>
                <w:rFonts w:eastAsia="Times New Roman" w:cs="Times New Roman"/>
                <w:color w:val="000000"/>
                <w:sz w:val="16"/>
                <w:szCs w:val="16"/>
                <w:lang w:eastAsia="es-GT"/>
              </w:rPr>
            </w:pPr>
            <w:r w:rsidRPr="00FC4688">
              <w:rPr>
                <w:rFonts w:eastAsia="Times New Roman" w:cs="Times New Roman"/>
                <w:color w:val="000000"/>
                <w:sz w:val="16"/>
                <w:szCs w:val="16"/>
                <w:lang w:eastAsia="es-GT"/>
              </w:rPr>
              <w:t>Inversión bruta en activos no financieros</w:t>
            </w:r>
          </w:p>
        </w:tc>
        <w:tc>
          <w:tcPr>
            <w:tcW w:w="861" w:type="dxa"/>
            <w:tcBorders>
              <w:top w:val="nil"/>
              <w:left w:val="nil"/>
              <w:bottom w:val="nil"/>
              <w:right w:val="nil"/>
            </w:tcBorders>
            <w:shd w:val="clear" w:color="auto" w:fill="auto"/>
            <w:noWrap/>
            <w:vAlign w:val="center"/>
            <w:hideMark/>
          </w:tcPr>
          <w:p w14:paraId="104BD431" w14:textId="7835B11E" w:rsidR="001F194A" w:rsidRPr="002F6D59" w:rsidRDefault="001F194A" w:rsidP="001F194A">
            <w:pPr>
              <w:jc w:val="center"/>
              <w:rPr>
                <w:rFonts w:eastAsia="Times New Roman" w:cs="Times New Roman"/>
                <w:color w:val="000000"/>
                <w:sz w:val="16"/>
                <w:szCs w:val="16"/>
                <w:lang w:eastAsia="es-GT"/>
              </w:rPr>
            </w:pPr>
            <w:r>
              <w:rPr>
                <w:color w:val="000000"/>
                <w:sz w:val="16"/>
                <w:szCs w:val="16"/>
              </w:rPr>
              <w:t>1,752.8</w:t>
            </w:r>
          </w:p>
        </w:tc>
        <w:tc>
          <w:tcPr>
            <w:tcW w:w="861" w:type="dxa"/>
            <w:tcBorders>
              <w:top w:val="nil"/>
              <w:left w:val="nil"/>
              <w:bottom w:val="nil"/>
              <w:right w:val="nil"/>
            </w:tcBorders>
            <w:shd w:val="clear" w:color="auto" w:fill="auto"/>
            <w:noWrap/>
            <w:vAlign w:val="center"/>
            <w:hideMark/>
          </w:tcPr>
          <w:p w14:paraId="481826F4" w14:textId="1AF3179C" w:rsidR="001F194A" w:rsidRPr="002F6D59" w:rsidRDefault="001F194A" w:rsidP="001F194A">
            <w:pPr>
              <w:jc w:val="center"/>
              <w:rPr>
                <w:rFonts w:eastAsia="Times New Roman" w:cs="Times New Roman"/>
                <w:color w:val="000000"/>
                <w:sz w:val="16"/>
                <w:szCs w:val="16"/>
                <w:lang w:eastAsia="es-GT"/>
              </w:rPr>
            </w:pPr>
            <w:r>
              <w:rPr>
                <w:color w:val="000000"/>
                <w:sz w:val="16"/>
                <w:szCs w:val="16"/>
              </w:rPr>
              <w:t>2,421.6</w:t>
            </w:r>
          </w:p>
        </w:tc>
        <w:tc>
          <w:tcPr>
            <w:tcW w:w="861" w:type="dxa"/>
            <w:tcBorders>
              <w:top w:val="double" w:sz="6" w:space="0" w:color="auto"/>
              <w:left w:val="dotDash" w:sz="4" w:space="0" w:color="auto"/>
              <w:bottom w:val="nil"/>
              <w:right w:val="nil"/>
            </w:tcBorders>
            <w:shd w:val="clear" w:color="auto" w:fill="auto"/>
            <w:noWrap/>
            <w:vAlign w:val="center"/>
            <w:hideMark/>
          </w:tcPr>
          <w:p w14:paraId="619B3F99" w14:textId="1F1452EA" w:rsidR="001F194A" w:rsidRPr="002F6D59" w:rsidRDefault="001F194A" w:rsidP="001F194A">
            <w:pPr>
              <w:jc w:val="center"/>
              <w:rPr>
                <w:rFonts w:eastAsia="Times New Roman" w:cs="Times New Roman"/>
                <w:color w:val="000000"/>
                <w:sz w:val="16"/>
                <w:szCs w:val="16"/>
                <w:lang w:eastAsia="es-GT"/>
              </w:rPr>
            </w:pPr>
            <w:r>
              <w:rPr>
                <w:color w:val="000000"/>
                <w:sz w:val="16"/>
                <w:szCs w:val="16"/>
              </w:rPr>
              <w:t>668.8</w:t>
            </w:r>
          </w:p>
        </w:tc>
        <w:tc>
          <w:tcPr>
            <w:tcW w:w="906" w:type="dxa"/>
            <w:tcBorders>
              <w:top w:val="nil"/>
              <w:left w:val="nil"/>
              <w:bottom w:val="nil"/>
              <w:right w:val="nil"/>
            </w:tcBorders>
            <w:shd w:val="clear" w:color="auto" w:fill="auto"/>
            <w:noWrap/>
            <w:vAlign w:val="center"/>
            <w:hideMark/>
          </w:tcPr>
          <w:p w14:paraId="1BE3AC12" w14:textId="2AA51EFA" w:rsidR="001F194A" w:rsidRPr="002F6D59" w:rsidRDefault="001F194A" w:rsidP="001F194A">
            <w:pPr>
              <w:jc w:val="center"/>
              <w:rPr>
                <w:rFonts w:eastAsia="Times New Roman" w:cs="Times New Roman"/>
                <w:color w:val="000000"/>
                <w:sz w:val="16"/>
                <w:szCs w:val="16"/>
                <w:lang w:eastAsia="es-GT"/>
              </w:rPr>
            </w:pPr>
            <w:r>
              <w:rPr>
                <w:color w:val="000000"/>
                <w:sz w:val="16"/>
                <w:szCs w:val="16"/>
              </w:rPr>
              <w:t>38.2</w:t>
            </w:r>
          </w:p>
        </w:tc>
      </w:tr>
      <w:tr w:rsidR="001F194A" w:rsidRPr="00FC4688" w14:paraId="5A8D5892" w14:textId="5C3FC364" w:rsidTr="007D65EB">
        <w:trPr>
          <w:trHeight w:val="252"/>
          <w:jc w:val="center"/>
        </w:trPr>
        <w:tc>
          <w:tcPr>
            <w:tcW w:w="3164" w:type="dxa"/>
            <w:tcBorders>
              <w:top w:val="nil"/>
              <w:left w:val="nil"/>
              <w:bottom w:val="nil"/>
              <w:right w:val="nil"/>
            </w:tcBorders>
            <w:shd w:val="clear" w:color="auto" w:fill="auto"/>
            <w:noWrap/>
            <w:vAlign w:val="center"/>
            <w:hideMark/>
          </w:tcPr>
          <w:p w14:paraId="0D083145" w14:textId="77777777" w:rsidR="001F194A" w:rsidRPr="00FC4688" w:rsidRDefault="001F194A" w:rsidP="001F194A">
            <w:pPr>
              <w:rPr>
                <w:rFonts w:eastAsia="Times New Roman" w:cs="Times New Roman"/>
                <w:color w:val="000000"/>
                <w:sz w:val="16"/>
                <w:szCs w:val="16"/>
                <w:lang w:eastAsia="es-GT"/>
              </w:rPr>
            </w:pPr>
            <w:r w:rsidRPr="00FC4688">
              <w:rPr>
                <w:rFonts w:eastAsia="Times New Roman" w:cs="Times New Roman"/>
                <w:color w:val="000000"/>
                <w:sz w:val="16"/>
                <w:szCs w:val="16"/>
                <w:lang w:eastAsia="es-GT"/>
              </w:rPr>
              <w:t>Erogación</w:t>
            </w:r>
          </w:p>
        </w:tc>
        <w:tc>
          <w:tcPr>
            <w:tcW w:w="861" w:type="dxa"/>
            <w:tcBorders>
              <w:top w:val="nil"/>
              <w:left w:val="nil"/>
              <w:bottom w:val="nil"/>
              <w:right w:val="nil"/>
            </w:tcBorders>
            <w:shd w:val="clear" w:color="auto" w:fill="auto"/>
            <w:noWrap/>
            <w:vAlign w:val="center"/>
            <w:hideMark/>
          </w:tcPr>
          <w:p w14:paraId="0E56D42C" w14:textId="34F5F2A9" w:rsidR="001F194A" w:rsidRPr="002F6D59" w:rsidRDefault="001F194A" w:rsidP="001F194A">
            <w:pPr>
              <w:jc w:val="center"/>
              <w:rPr>
                <w:rFonts w:eastAsia="Times New Roman" w:cs="Times New Roman"/>
                <w:color w:val="000000"/>
                <w:sz w:val="16"/>
                <w:szCs w:val="16"/>
                <w:lang w:eastAsia="es-GT"/>
              </w:rPr>
            </w:pPr>
            <w:r>
              <w:rPr>
                <w:color w:val="000000"/>
                <w:sz w:val="16"/>
                <w:szCs w:val="16"/>
              </w:rPr>
              <w:t>46,948.0</w:t>
            </w:r>
          </w:p>
        </w:tc>
        <w:tc>
          <w:tcPr>
            <w:tcW w:w="861" w:type="dxa"/>
            <w:tcBorders>
              <w:top w:val="nil"/>
              <w:left w:val="nil"/>
              <w:bottom w:val="nil"/>
              <w:right w:val="nil"/>
            </w:tcBorders>
            <w:shd w:val="clear" w:color="auto" w:fill="auto"/>
            <w:noWrap/>
            <w:vAlign w:val="center"/>
            <w:hideMark/>
          </w:tcPr>
          <w:p w14:paraId="341666FD" w14:textId="56A40A48" w:rsidR="001F194A" w:rsidRPr="002F6D59" w:rsidRDefault="001F194A" w:rsidP="001F194A">
            <w:pPr>
              <w:jc w:val="center"/>
              <w:rPr>
                <w:rFonts w:eastAsia="Times New Roman" w:cs="Times New Roman"/>
                <w:color w:val="000000"/>
                <w:sz w:val="16"/>
                <w:szCs w:val="16"/>
                <w:lang w:eastAsia="es-GT"/>
              </w:rPr>
            </w:pPr>
            <w:r>
              <w:rPr>
                <w:color w:val="000000"/>
                <w:sz w:val="16"/>
                <w:szCs w:val="16"/>
              </w:rPr>
              <w:t>54,974.0</w:t>
            </w:r>
          </w:p>
        </w:tc>
        <w:tc>
          <w:tcPr>
            <w:tcW w:w="861" w:type="dxa"/>
            <w:tcBorders>
              <w:top w:val="nil"/>
              <w:left w:val="dotDash" w:sz="4" w:space="0" w:color="auto"/>
              <w:bottom w:val="nil"/>
              <w:right w:val="nil"/>
            </w:tcBorders>
            <w:shd w:val="clear" w:color="auto" w:fill="auto"/>
            <w:noWrap/>
            <w:vAlign w:val="center"/>
            <w:hideMark/>
          </w:tcPr>
          <w:p w14:paraId="5A79CAEE" w14:textId="0F8A7DE5" w:rsidR="001F194A" w:rsidRPr="002F6D59" w:rsidRDefault="001F194A" w:rsidP="001F194A">
            <w:pPr>
              <w:jc w:val="center"/>
              <w:rPr>
                <w:rFonts w:eastAsia="Times New Roman" w:cs="Times New Roman"/>
                <w:color w:val="000000"/>
                <w:sz w:val="16"/>
                <w:szCs w:val="16"/>
                <w:lang w:eastAsia="es-GT"/>
              </w:rPr>
            </w:pPr>
            <w:r>
              <w:rPr>
                <w:color w:val="000000"/>
                <w:sz w:val="16"/>
                <w:szCs w:val="16"/>
              </w:rPr>
              <w:t>8,026.0</w:t>
            </w:r>
          </w:p>
        </w:tc>
        <w:tc>
          <w:tcPr>
            <w:tcW w:w="906" w:type="dxa"/>
            <w:tcBorders>
              <w:top w:val="nil"/>
              <w:left w:val="nil"/>
              <w:bottom w:val="nil"/>
              <w:right w:val="nil"/>
            </w:tcBorders>
            <w:shd w:val="clear" w:color="auto" w:fill="auto"/>
            <w:noWrap/>
            <w:vAlign w:val="center"/>
            <w:hideMark/>
          </w:tcPr>
          <w:p w14:paraId="0D6AF032" w14:textId="2C19FC4F" w:rsidR="001F194A" w:rsidRPr="002F6D59" w:rsidRDefault="001F194A" w:rsidP="001F194A">
            <w:pPr>
              <w:jc w:val="center"/>
              <w:rPr>
                <w:rFonts w:eastAsia="Times New Roman" w:cs="Times New Roman"/>
                <w:color w:val="000000"/>
                <w:sz w:val="16"/>
                <w:szCs w:val="16"/>
                <w:lang w:eastAsia="es-GT"/>
              </w:rPr>
            </w:pPr>
            <w:r>
              <w:rPr>
                <w:color w:val="000000"/>
                <w:sz w:val="16"/>
                <w:szCs w:val="16"/>
              </w:rPr>
              <w:t>17.1</w:t>
            </w:r>
          </w:p>
        </w:tc>
      </w:tr>
      <w:tr w:rsidR="001F194A" w:rsidRPr="00FC4688" w14:paraId="205BFE93" w14:textId="2D3FCF6F" w:rsidTr="007D65EB">
        <w:trPr>
          <w:trHeight w:val="252"/>
          <w:jc w:val="center"/>
        </w:trPr>
        <w:tc>
          <w:tcPr>
            <w:tcW w:w="3164" w:type="dxa"/>
            <w:tcBorders>
              <w:top w:val="nil"/>
              <w:left w:val="nil"/>
              <w:bottom w:val="nil"/>
              <w:right w:val="nil"/>
            </w:tcBorders>
            <w:shd w:val="clear" w:color="auto" w:fill="auto"/>
            <w:noWrap/>
            <w:vAlign w:val="center"/>
            <w:hideMark/>
          </w:tcPr>
          <w:p w14:paraId="7B8BD1E5" w14:textId="77777777" w:rsidR="001F194A" w:rsidRPr="00FC4688" w:rsidRDefault="001F194A" w:rsidP="001F194A">
            <w:pPr>
              <w:rPr>
                <w:rFonts w:eastAsia="Times New Roman" w:cs="Times New Roman"/>
                <w:b/>
                <w:bCs/>
                <w:color w:val="000000"/>
                <w:sz w:val="16"/>
                <w:szCs w:val="16"/>
                <w:lang w:eastAsia="es-GT"/>
              </w:rPr>
            </w:pPr>
            <w:r w:rsidRPr="00FC4688">
              <w:rPr>
                <w:rFonts w:eastAsia="Times New Roman" w:cs="Times New Roman"/>
                <w:b/>
                <w:bCs/>
                <w:color w:val="000000"/>
                <w:sz w:val="16"/>
                <w:szCs w:val="16"/>
                <w:lang w:eastAsia="es-GT"/>
              </w:rPr>
              <w:t>Resultado Primario</w:t>
            </w:r>
          </w:p>
        </w:tc>
        <w:tc>
          <w:tcPr>
            <w:tcW w:w="861" w:type="dxa"/>
            <w:tcBorders>
              <w:top w:val="nil"/>
              <w:left w:val="nil"/>
              <w:bottom w:val="nil"/>
              <w:right w:val="nil"/>
            </w:tcBorders>
            <w:shd w:val="clear" w:color="auto" w:fill="auto"/>
            <w:noWrap/>
            <w:vAlign w:val="center"/>
            <w:hideMark/>
          </w:tcPr>
          <w:p w14:paraId="3E003DDF" w14:textId="706D0EA6" w:rsidR="001F194A" w:rsidRPr="002F6D59" w:rsidRDefault="001F194A" w:rsidP="001F194A">
            <w:pPr>
              <w:jc w:val="center"/>
              <w:rPr>
                <w:rFonts w:eastAsia="Times New Roman" w:cs="Times New Roman"/>
                <w:b/>
                <w:bCs/>
                <w:color w:val="000000"/>
                <w:sz w:val="16"/>
                <w:szCs w:val="16"/>
                <w:lang w:eastAsia="es-GT"/>
              </w:rPr>
            </w:pPr>
            <w:r>
              <w:rPr>
                <w:b/>
                <w:bCs/>
                <w:color w:val="000000"/>
                <w:sz w:val="16"/>
                <w:szCs w:val="16"/>
              </w:rPr>
              <w:t>4,294.2</w:t>
            </w:r>
          </w:p>
        </w:tc>
        <w:tc>
          <w:tcPr>
            <w:tcW w:w="861" w:type="dxa"/>
            <w:tcBorders>
              <w:top w:val="nil"/>
              <w:left w:val="nil"/>
              <w:bottom w:val="nil"/>
              <w:right w:val="nil"/>
            </w:tcBorders>
            <w:shd w:val="clear" w:color="auto" w:fill="auto"/>
            <w:noWrap/>
            <w:vAlign w:val="center"/>
            <w:hideMark/>
          </w:tcPr>
          <w:p w14:paraId="2A525B45" w14:textId="4E5E55E9" w:rsidR="001F194A" w:rsidRPr="002F6D59" w:rsidRDefault="001F194A" w:rsidP="001F194A">
            <w:pPr>
              <w:jc w:val="center"/>
              <w:rPr>
                <w:rFonts w:eastAsia="Times New Roman" w:cs="Times New Roman"/>
                <w:b/>
                <w:bCs/>
                <w:color w:val="000000"/>
                <w:sz w:val="16"/>
                <w:szCs w:val="16"/>
                <w:lang w:eastAsia="es-GT"/>
              </w:rPr>
            </w:pPr>
            <w:r>
              <w:rPr>
                <w:b/>
                <w:bCs/>
                <w:color w:val="000000"/>
                <w:sz w:val="16"/>
                <w:szCs w:val="16"/>
              </w:rPr>
              <w:t>1,281.3</w:t>
            </w:r>
          </w:p>
        </w:tc>
        <w:tc>
          <w:tcPr>
            <w:tcW w:w="861" w:type="dxa"/>
            <w:tcBorders>
              <w:top w:val="nil"/>
              <w:left w:val="dotDash" w:sz="4" w:space="0" w:color="auto"/>
              <w:bottom w:val="nil"/>
              <w:right w:val="nil"/>
            </w:tcBorders>
            <w:shd w:val="clear" w:color="auto" w:fill="auto"/>
            <w:noWrap/>
            <w:vAlign w:val="center"/>
            <w:hideMark/>
          </w:tcPr>
          <w:p w14:paraId="348435F1" w14:textId="296F02B7" w:rsidR="001F194A" w:rsidRPr="002F6D59" w:rsidRDefault="001F194A" w:rsidP="001F194A">
            <w:pPr>
              <w:jc w:val="center"/>
              <w:rPr>
                <w:rFonts w:eastAsia="Times New Roman" w:cs="Times New Roman"/>
                <w:b/>
                <w:bCs/>
                <w:color w:val="000000"/>
                <w:sz w:val="16"/>
                <w:szCs w:val="16"/>
                <w:lang w:eastAsia="es-GT"/>
              </w:rPr>
            </w:pPr>
            <w:r>
              <w:rPr>
                <w:b/>
                <w:bCs/>
                <w:color w:val="000000"/>
                <w:sz w:val="16"/>
                <w:szCs w:val="16"/>
              </w:rPr>
              <w:t>-3,012.9</w:t>
            </w:r>
          </w:p>
        </w:tc>
        <w:tc>
          <w:tcPr>
            <w:tcW w:w="906" w:type="dxa"/>
            <w:tcBorders>
              <w:top w:val="nil"/>
              <w:left w:val="nil"/>
              <w:bottom w:val="nil"/>
              <w:right w:val="nil"/>
            </w:tcBorders>
            <w:shd w:val="clear" w:color="auto" w:fill="auto"/>
            <w:noWrap/>
            <w:vAlign w:val="center"/>
            <w:hideMark/>
          </w:tcPr>
          <w:p w14:paraId="4F162A27" w14:textId="68B0B5C9" w:rsidR="001F194A" w:rsidRPr="002F6D59" w:rsidRDefault="001F194A" w:rsidP="001F194A">
            <w:pPr>
              <w:jc w:val="center"/>
              <w:rPr>
                <w:rFonts w:eastAsia="Times New Roman" w:cs="Times New Roman"/>
                <w:b/>
                <w:bCs/>
                <w:color w:val="000000"/>
                <w:sz w:val="16"/>
                <w:szCs w:val="16"/>
                <w:lang w:eastAsia="es-GT"/>
              </w:rPr>
            </w:pPr>
            <w:r>
              <w:rPr>
                <w:b/>
                <w:bCs/>
                <w:color w:val="000000"/>
                <w:sz w:val="16"/>
                <w:szCs w:val="16"/>
              </w:rPr>
              <w:t>-70.2</w:t>
            </w:r>
          </w:p>
        </w:tc>
      </w:tr>
      <w:tr w:rsidR="001F194A" w:rsidRPr="00FC4688" w14:paraId="20CDBC1D" w14:textId="227FA230" w:rsidTr="007D65EB">
        <w:trPr>
          <w:trHeight w:val="264"/>
          <w:jc w:val="center"/>
        </w:trPr>
        <w:tc>
          <w:tcPr>
            <w:tcW w:w="3164" w:type="dxa"/>
            <w:tcBorders>
              <w:top w:val="nil"/>
              <w:left w:val="nil"/>
              <w:bottom w:val="nil"/>
              <w:right w:val="nil"/>
            </w:tcBorders>
            <w:shd w:val="clear" w:color="auto" w:fill="auto"/>
            <w:noWrap/>
            <w:vAlign w:val="center"/>
            <w:hideMark/>
          </w:tcPr>
          <w:p w14:paraId="0442102B" w14:textId="77777777" w:rsidR="001F194A" w:rsidRPr="00FC4688" w:rsidRDefault="001F194A" w:rsidP="001F194A">
            <w:pPr>
              <w:rPr>
                <w:rFonts w:eastAsia="Times New Roman" w:cs="Times New Roman"/>
                <w:b/>
                <w:bCs/>
                <w:color w:val="000000"/>
                <w:sz w:val="16"/>
                <w:szCs w:val="16"/>
                <w:lang w:eastAsia="es-GT"/>
              </w:rPr>
            </w:pPr>
            <w:r w:rsidRPr="00FC4688">
              <w:rPr>
                <w:rFonts w:eastAsia="Times New Roman" w:cs="Times New Roman"/>
                <w:b/>
                <w:bCs/>
                <w:color w:val="000000"/>
                <w:sz w:val="16"/>
                <w:szCs w:val="16"/>
                <w:lang w:eastAsia="es-GT"/>
              </w:rPr>
              <w:t>Préstamo (+) / endeudamiento (-)</w:t>
            </w:r>
          </w:p>
        </w:tc>
        <w:tc>
          <w:tcPr>
            <w:tcW w:w="861" w:type="dxa"/>
            <w:tcBorders>
              <w:top w:val="nil"/>
              <w:left w:val="nil"/>
              <w:bottom w:val="nil"/>
              <w:right w:val="nil"/>
            </w:tcBorders>
            <w:shd w:val="clear" w:color="auto" w:fill="auto"/>
            <w:noWrap/>
            <w:vAlign w:val="center"/>
            <w:hideMark/>
          </w:tcPr>
          <w:p w14:paraId="7572EF06" w14:textId="107A01C2" w:rsidR="001F194A" w:rsidRPr="002F6D59" w:rsidRDefault="001F194A" w:rsidP="001F194A">
            <w:pPr>
              <w:jc w:val="center"/>
              <w:rPr>
                <w:rFonts w:eastAsia="Times New Roman" w:cs="Times New Roman"/>
                <w:b/>
                <w:bCs/>
                <w:color w:val="000000"/>
                <w:sz w:val="16"/>
                <w:szCs w:val="16"/>
                <w:lang w:eastAsia="es-GT"/>
              </w:rPr>
            </w:pPr>
            <w:r>
              <w:rPr>
                <w:b/>
                <w:bCs/>
                <w:color w:val="000000"/>
                <w:sz w:val="16"/>
                <w:szCs w:val="16"/>
              </w:rPr>
              <w:t>-1,513.8</w:t>
            </w:r>
          </w:p>
        </w:tc>
        <w:tc>
          <w:tcPr>
            <w:tcW w:w="861" w:type="dxa"/>
            <w:tcBorders>
              <w:top w:val="nil"/>
              <w:left w:val="nil"/>
              <w:bottom w:val="nil"/>
              <w:right w:val="nil"/>
            </w:tcBorders>
            <w:shd w:val="clear" w:color="auto" w:fill="auto"/>
            <w:noWrap/>
            <w:vAlign w:val="center"/>
            <w:hideMark/>
          </w:tcPr>
          <w:p w14:paraId="5548BC3A" w14:textId="6E549A1D" w:rsidR="001F194A" w:rsidRPr="002F6D59" w:rsidRDefault="001F194A" w:rsidP="001F194A">
            <w:pPr>
              <w:jc w:val="center"/>
              <w:rPr>
                <w:rFonts w:eastAsia="Times New Roman" w:cs="Times New Roman"/>
                <w:b/>
                <w:bCs/>
                <w:color w:val="000000"/>
                <w:sz w:val="16"/>
                <w:szCs w:val="16"/>
                <w:lang w:eastAsia="es-GT"/>
              </w:rPr>
            </w:pPr>
            <w:r>
              <w:rPr>
                <w:b/>
                <w:bCs/>
                <w:color w:val="000000"/>
                <w:sz w:val="16"/>
                <w:szCs w:val="16"/>
              </w:rPr>
              <w:t>-5,071.9</w:t>
            </w:r>
          </w:p>
        </w:tc>
        <w:tc>
          <w:tcPr>
            <w:tcW w:w="861" w:type="dxa"/>
            <w:tcBorders>
              <w:top w:val="nil"/>
              <w:left w:val="dotDash" w:sz="4" w:space="0" w:color="auto"/>
              <w:bottom w:val="nil"/>
              <w:right w:val="nil"/>
            </w:tcBorders>
            <w:shd w:val="clear" w:color="auto" w:fill="auto"/>
            <w:noWrap/>
            <w:vAlign w:val="center"/>
            <w:hideMark/>
          </w:tcPr>
          <w:p w14:paraId="6269F16F" w14:textId="7AD3DDF6" w:rsidR="001F194A" w:rsidRPr="002F6D59" w:rsidRDefault="001F194A" w:rsidP="001F194A">
            <w:pPr>
              <w:jc w:val="center"/>
              <w:rPr>
                <w:rFonts w:eastAsia="Times New Roman" w:cs="Times New Roman"/>
                <w:b/>
                <w:bCs/>
                <w:color w:val="000000"/>
                <w:sz w:val="16"/>
                <w:szCs w:val="16"/>
                <w:lang w:eastAsia="es-GT"/>
              </w:rPr>
            </w:pPr>
            <w:r>
              <w:rPr>
                <w:b/>
                <w:bCs/>
                <w:color w:val="000000"/>
                <w:sz w:val="16"/>
                <w:szCs w:val="16"/>
              </w:rPr>
              <w:t>-3,558.1</w:t>
            </w:r>
          </w:p>
        </w:tc>
        <w:tc>
          <w:tcPr>
            <w:tcW w:w="906" w:type="dxa"/>
            <w:tcBorders>
              <w:top w:val="nil"/>
              <w:left w:val="nil"/>
              <w:bottom w:val="nil"/>
              <w:right w:val="nil"/>
            </w:tcBorders>
            <w:shd w:val="clear" w:color="auto" w:fill="auto"/>
            <w:noWrap/>
            <w:vAlign w:val="center"/>
            <w:hideMark/>
          </w:tcPr>
          <w:p w14:paraId="15600C8A" w14:textId="1D50C63D" w:rsidR="001F194A" w:rsidRPr="002F6D59" w:rsidRDefault="001F194A" w:rsidP="001F194A">
            <w:pPr>
              <w:jc w:val="center"/>
              <w:rPr>
                <w:rFonts w:eastAsia="Times New Roman" w:cs="Times New Roman"/>
                <w:b/>
                <w:bCs/>
                <w:color w:val="000000"/>
                <w:sz w:val="16"/>
                <w:szCs w:val="16"/>
                <w:lang w:eastAsia="es-GT"/>
              </w:rPr>
            </w:pPr>
            <w:r>
              <w:rPr>
                <w:b/>
                <w:bCs/>
                <w:color w:val="000000"/>
                <w:sz w:val="16"/>
                <w:szCs w:val="16"/>
              </w:rPr>
              <w:t>235.0</w:t>
            </w:r>
          </w:p>
        </w:tc>
      </w:tr>
      <w:tr w:rsidR="00673937" w:rsidRPr="00FC4688" w14:paraId="623E528B" w14:textId="601876CC" w:rsidTr="007D65EB">
        <w:trPr>
          <w:trHeight w:val="264"/>
          <w:jc w:val="center"/>
        </w:trPr>
        <w:tc>
          <w:tcPr>
            <w:tcW w:w="6653" w:type="dxa"/>
            <w:gridSpan w:val="5"/>
            <w:tcBorders>
              <w:top w:val="single" w:sz="8" w:space="0" w:color="auto"/>
              <w:left w:val="nil"/>
              <w:bottom w:val="double" w:sz="6" w:space="0" w:color="auto"/>
              <w:right w:val="nil"/>
            </w:tcBorders>
            <w:shd w:val="clear" w:color="auto" w:fill="auto"/>
            <w:noWrap/>
            <w:vAlign w:val="center"/>
            <w:hideMark/>
          </w:tcPr>
          <w:p w14:paraId="0FB65DEF" w14:textId="77777777" w:rsidR="00673937" w:rsidRPr="00FC4688" w:rsidRDefault="00673937" w:rsidP="003E4789">
            <w:pPr>
              <w:rPr>
                <w:rFonts w:eastAsia="Times New Roman" w:cs="Times New Roman"/>
                <w:color w:val="4472C4"/>
                <w:sz w:val="18"/>
                <w:szCs w:val="18"/>
                <w:lang w:eastAsia="es-GT"/>
              </w:rPr>
            </w:pPr>
            <w:r w:rsidRPr="00FC4688">
              <w:rPr>
                <w:rFonts w:eastAsia="Times New Roman" w:cs="Times New Roman"/>
                <w:color w:val="4472C4"/>
                <w:sz w:val="18"/>
                <w:szCs w:val="18"/>
                <w:lang w:eastAsia="es-GT"/>
              </w:rPr>
              <w:t>TRANSACCIONES EN ACTIVOS Y PASIVOS FINANCIEROS (FINANCIMIENTO)</w:t>
            </w:r>
          </w:p>
        </w:tc>
      </w:tr>
      <w:tr w:rsidR="001F194A" w:rsidRPr="00FC4688" w14:paraId="0F64AF95" w14:textId="6530705E" w:rsidTr="007D65EB">
        <w:trPr>
          <w:trHeight w:val="264"/>
          <w:jc w:val="center"/>
        </w:trPr>
        <w:tc>
          <w:tcPr>
            <w:tcW w:w="3164" w:type="dxa"/>
            <w:tcBorders>
              <w:top w:val="nil"/>
              <w:left w:val="nil"/>
              <w:bottom w:val="nil"/>
              <w:right w:val="nil"/>
            </w:tcBorders>
            <w:shd w:val="clear" w:color="auto" w:fill="auto"/>
            <w:noWrap/>
            <w:vAlign w:val="center"/>
            <w:hideMark/>
          </w:tcPr>
          <w:p w14:paraId="0BF18B98" w14:textId="77777777" w:rsidR="001F194A" w:rsidRPr="00FC4688" w:rsidRDefault="001F194A" w:rsidP="001F194A">
            <w:pPr>
              <w:rPr>
                <w:rFonts w:eastAsia="Times New Roman" w:cs="Times New Roman"/>
                <w:b/>
                <w:bCs/>
                <w:color w:val="000000"/>
                <w:sz w:val="16"/>
                <w:szCs w:val="16"/>
                <w:lang w:eastAsia="es-GT"/>
              </w:rPr>
            </w:pPr>
            <w:r w:rsidRPr="00FC4688">
              <w:rPr>
                <w:rFonts w:eastAsia="Times New Roman" w:cs="Times New Roman"/>
                <w:b/>
                <w:bCs/>
                <w:color w:val="000000"/>
                <w:sz w:val="16"/>
                <w:szCs w:val="16"/>
                <w:lang w:eastAsia="es-GT"/>
              </w:rPr>
              <w:t>Adquisición neta de activos financieros</w:t>
            </w:r>
          </w:p>
        </w:tc>
        <w:tc>
          <w:tcPr>
            <w:tcW w:w="861" w:type="dxa"/>
            <w:tcBorders>
              <w:top w:val="nil"/>
              <w:left w:val="nil"/>
              <w:bottom w:val="nil"/>
              <w:right w:val="nil"/>
            </w:tcBorders>
            <w:shd w:val="clear" w:color="auto" w:fill="auto"/>
            <w:noWrap/>
            <w:vAlign w:val="center"/>
            <w:hideMark/>
          </w:tcPr>
          <w:p w14:paraId="4C850BAD" w14:textId="43DA007A" w:rsidR="001F194A" w:rsidRPr="002F6D59" w:rsidRDefault="001F194A" w:rsidP="001F194A">
            <w:pPr>
              <w:jc w:val="center"/>
              <w:rPr>
                <w:rFonts w:eastAsia="Times New Roman" w:cs="Times New Roman"/>
                <w:b/>
                <w:bCs/>
                <w:color w:val="000000"/>
                <w:sz w:val="16"/>
                <w:szCs w:val="16"/>
                <w:lang w:eastAsia="es-GT"/>
              </w:rPr>
            </w:pPr>
            <w:r>
              <w:rPr>
                <w:b/>
                <w:bCs/>
                <w:color w:val="000000"/>
                <w:sz w:val="16"/>
                <w:szCs w:val="16"/>
              </w:rPr>
              <w:t>-1,320.9</w:t>
            </w:r>
          </w:p>
        </w:tc>
        <w:tc>
          <w:tcPr>
            <w:tcW w:w="861" w:type="dxa"/>
            <w:tcBorders>
              <w:top w:val="nil"/>
              <w:left w:val="nil"/>
              <w:bottom w:val="nil"/>
              <w:right w:val="nil"/>
            </w:tcBorders>
            <w:shd w:val="clear" w:color="auto" w:fill="auto"/>
            <w:noWrap/>
            <w:vAlign w:val="center"/>
            <w:hideMark/>
          </w:tcPr>
          <w:p w14:paraId="271DD44D" w14:textId="4D98250E" w:rsidR="001F194A" w:rsidRPr="002F6D59" w:rsidRDefault="001F194A" w:rsidP="001F194A">
            <w:pPr>
              <w:jc w:val="center"/>
              <w:rPr>
                <w:rFonts w:eastAsia="Times New Roman" w:cs="Times New Roman"/>
                <w:b/>
                <w:bCs/>
                <w:color w:val="000000"/>
                <w:sz w:val="16"/>
                <w:szCs w:val="16"/>
                <w:lang w:eastAsia="es-GT"/>
              </w:rPr>
            </w:pPr>
            <w:r>
              <w:rPr>
                <w:b/>
                <w:bCs/>
                <w:color w:val="000000"/>
                <w:sz w:val="16"/>
                <w:szCs w:val="16"/>
              </w:rPr>
              <w:t>521.2</w:t>
            </w:r>
          </w:p>
        </w:tc>
        <w:tc>
          <w:tcPr>
            <w:tcW w:w="861" w:type="dxa"/>
            <w:tcBorders>
              <w:top w:val="double" w:sz="6" w:space="0" w:color="auto"/>
              <w:left w:val="dotDash" w:sz="4" w:space="0" w:color="auto"/>
              <w:bottom w:val="nil"/>
              <w:right w:val="nil"/>
            </w:tcBorders>
            <w:shd w:val="clear" w:color="auto" w:fill="auto"/>
            <w:noWrap/>
            <w:vAlign w:val="center"/>
            <w:hideMark/>
          </w:tcPr>
          <w:p w14:paraId="3E664964" w14:textId="04C5D073" w:rsidR="001F194A" w:rsidRPr="002F6D59" w:rsidRDefault="001F194A" w:rsidP="001F194A">
            <w:pPr>
              <w:jc w:val="center"/>
              <w:rPr>
                <w:rFonts w:eastAsia="Times New Roman" w:cs="Times New Roman"/>
                <w:b/>
                <w:bCs/>
                <w:color w:val="000000"/>
                <w:sz w:val="16"/>
                <w:szCs w:val="16"/>
                <w:lang w:eastAsia="es-GT"/>
              </w:rPr>
            </w:pPr>
            <w:r>
              <w:rPr>
                <w:b/>
                <w:bCs/>
                <w:color w:val="000000"/>
                <w:sz w:val="16"/>
                <w:szCs w:val="16"/>
              </w:rPr>
              <w:t>1,842.1</w:t>
            </w:r>
          </w:p>
        </w:tc>
        <w:tc>
          <w:tcPr>
            <w:tcW w:w="906" w:type="dxa"/>
            <w:tcBorders>
              <w:top w:val="nil"/>
              <w:left w:val="nil"/>
              <w:bottom w:val="nil"/>
              <w:right w:val="nil"/>
            </w:tcBorders>
            <w:shd w:val="clear" w:color="auto" w:fill="auto"/>
            <w:noWrap/>
            <w:vAlign w:val="center"/>
            <w:hideMark/>
          </w:tcPr>
          <w:p w14:paraId="751A5CBD" w14:textId="62F9F3A2" w:rsidR="001F194A" w:rsidRPr="002F6D59" w:rsidRDefault="001F194A" w:rsidP="001F194A">
            <w:pPr>
              <w:jc w:val="center"/>
              <w:rPr>
                <w:rFonts w:eastAsia="Times New Roman" w:cs="Times New Roman"/>
                <w:b/>
                <w:bCs/>
                <w:color w:val="000000"/>
                <w:sz w:val="16"/>
                <w:szCs w:val="16"/>
                <w:lang w:eastAsia="es-GT"/>
              </w:rPr>
            </w:pPr>
            <w:r>
              <w:rPr>
                <w:b/>
                <w:bCs/>
                <w:color w:val="000000"/>
                <w:sz w:val="16"/>
                <w:szCs w:val="16"/>
              </w:rPr>
              <w:t>-139.5</w:t>
            </w:r>
          </w:p>
        </w:tc>
      </w:tr>
      <w:tr w:rsidR="001F194A" w:rsidRPr="00FC4688" w14:paraId="006B5F4E" w14:textId="54318C8E" w:rsidTr="007D65EB">
        <w:trPr>
          <w:trHeight w:val="252"/>
          <w:jc w:val="center"/>
        </w:trPr>
        <w:tc>
          <w:tcPr>
            <w:tcW w:w="3164" w:type="dxa"/>
            <w:tcBorders>
              <w:top w:val="nil"/>
              <w:left w:val="nil"/>
              <w:bottom w:val="nil"/>
              <w:right w:val="nil"/>
            </w:tcBorders>
            <w:shd w:val="clear" w:color="auto" w:fill="auto"/>
            <w:noWrap/>
            <w:vAlign w:val="center"/>
            <w:hideMark/>
          </w:tcPr>
          <w:p w14:paraId="24B0906B" w14:textId="77777777" w:rsidR="001F194A" w:rsidRPr="00FC4688" w:rsidRDefault="001F194A" w:rsidP="001F194A">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Billetes monedas y depósitos</w:t>
            </w:r>
          </w:p>
        </w:tc>
        <w:tc>
          <w:tcPr>
            <w:tcW w:w="861" w:type="dxa"/>
            <w:tcBorders>
              <w:top w:val="nil"/>
              <w:left w:val="nil"/>
              <w:bottom w:val="nil"/>
              <w:right w:val="nil"/>
            </w:tcBorders>
            <w:shd w:val="clear" w:color="auto" w:fill="auto"/>
            <w:noWrap/>
            <w:vAlign w:val="center"/>
            <w:hideMark/>
          </w:tcPr>
          <w:p w14:paraId="24A10F92" w14:textId="0915BFEE" w:rsidR="001F194A" w:rsidRPr="002F6D59" w:rsidRDefault="001F194A" w:rsidP="001F194A">
            <w:pPr>
              <w:jc w:val="center"/>
              <w:rPr>
                <w:rFonts w:eastAsia="Times New Roman" w:cs="Times New Roman"/>
                <w:color w:val="000000"/>
                <w:sz w:val="16"/>
                <w:szCs w:val="16"/>
                <w:lang w:eastAsia="es-GT"/>
              </w:rPr>
            </w:pPr>
            <w:r>
              <w:rPr>
                <w:color w:val="000000"/>
                <w:sz w:val="16"/>
                <w:szCs w:val="16"/>
              </w:rPr>
              <w:t>-1,298.4</w:t>
            </w:r>
          </w:p>
        </w:tc>
        <w:tc>
          <w:tcPr>
            <w:tcW w:w="861" w:type="dxa"/>
            <w:tcBorders>
              <w:top w:val="nil"/>
              <w:left w:val="nil"/>
              <w:bottom w:val="nil"/>
              <w:right w:val="nil"/>
            </w:tcBorders>
            <w:shd w:val="clear" w:color="auto" w:fill="auto"/>
            <w:noWrap/>
            <w:vAlign w:val="center"/>
            <w:hideMark/>
          </w:tcPr>
          <w:p w14:paraId="51DF1E71" w14:textId="59F17101" w:rsidR="001F194A" w:rsidRPr="002F6D59" w:rsidRDefault="001F194A" w:rsidP="001F194A">
            <w:pPr>
              <w:jc w:val="center"/>
              <w:rPr>
                <w:rFonts w:eastAsia="Times New Roman" w:cs="Times New Roman"/>
                <w:color w:val="000000"/>
                <w:sz w:val="16"/>
                <w:szCs w:val="16"/>
                <w:lang w:eastAsia="es-GT"/>
              </w:rPr>
            </w:pPr>
            <w:r>
              <w:rPr>
                <w:color w:val="000000"/>
                <w:sz w:val="16"/>
                <w:szCs w:val="16"/>
              </w:rPr>
              <w:t>550.4</w:t>
            </w:r>
          </w:p>
        </w:tc>
        <w:tc>
          <w:tcPr>
            <w:tcW w:w="861" w:type="dxa"/>
            <w:tcBorders>
              <w:top w:val="nil"/>
              <w:left w:val="dotDash" w:sz="4" w:space="0" w:color="auto"/>
              <w:bottom w:val="nil"/>
              <w:right w:val="nil"/>
            </w:tcBorders>
            <w:shd w:val="clear" w:color="auto" w:fill="auto"/>
            <w:noWrap/>
            <w:vAlign w:val="center"/>
            <w:hideMark/>
          </w:tcPr>
          <w:p w14:paraId="779FBD0C" w14:textId="0F24C384" w:rsidR="001F194A" w:rsidRPr="002F6D59" w:rsidRDefault="001F194A" w:rsidP="001F194A">
            <w:pPr>
              <w:jc w:val="center"/>
              <w:rPr>
                <w:rFonts w:eastAsia="Times New Roman" w:cs="Times New Roman"/>
                <w:color w:val="000000"/>
                <w:sz w:val="16"/>
                <w:szCs w:val="16"/>
                <w:lang w:eastAsia="es-GT"/>
              </w:rPr>
            </w:pPr>
            <w:r>
              <w:rPr>
                <w:color w:val="000000"/>
                <w:sz w:val="16"/>
                <w:szCs w:val="16"/>
              </w:rPr>
              <w:t>1,848.7</w:t>
            </w:r>
          </w:p>
        </w:tc>
        <w:tc>
          <w:tcPr>
            <w:tcW w:w="906" w:type="dxa"/>
            <w:tcBorders>
              <w:top w:val="nil"/>
              <w:left w:val="nil"/>
              <w:bottom w:val="nil"/>
              <w:right w:val="nil"/>
            </w:tcBorders>
            <w:shd w:val="clear" w:color="auto" w:fill="auto"/>
            <w:noWrap/>
            <w:vAlign w:val="center"/>
            <w:hideMark/>
          </w:tcPr>
          <w:p w14:paraId="46247A0F" w14:textId="4F645C16" w:rsidR="001F194A" w:rsidRPr="002F6D59" w:rsidRDefault="001F194A" w:rsidP="001F194A">
            <w:pPr>
              <w:jc w:val="center"/>
              <w:rPr>
                <w:rFonts w:eastAsia="Times New Roman" w:cs="Times New Roman"/>
                <w:color w:val="000000"/>
                <w:sz w:val="16"/>
                <w:szCs w:val="16"/>
                <w:lang w:eastAsia="es-GT"/>
              </w:rPr>
            </w:pPr>
            <w:r>
              <w:rPr>
                <w:color w:val="000000"/>
                <w:sz w:val="16"/>
                <w:szCs w:val="16"/>
              </w:rPr>
              <w:t>-142.4</w:t>
            </w:r>
          </w:p>
        </w:tc>
      </w:tr>
      <w:tr w:rsidR="001F194A" w:rsidRPr="00FC4688" w14:paraId="0038A0E3" w14:textId="108CE968" w:rsidTr="007D65EB">
        <w:trPr>
          <w:trHeight w:val="252"/>
          <w:jc w:val="center"/>
        </w:trPr>
        <w:tc>
          <w:tcPr>
            <w:tcW w:w="3164" w:type="dxa"/>
            <w:tcBorders>
              <w:top w:val="nil"/>
              <w:left w:val="nil"/>
              <w:bottom w:val="nil"/>
              <w:right w:val="nil"/>
            </w:tcBorders>
            <w:shd w:val="clear" w:color="auto" w:fill="auto"/>
            <w:noWrap/>
            <w:vAlign w:val="center"/>
            <w:hideMark/>
          </w:tcPr>
          <w:p w14:paraId="3233DC3F" w14:textId="77777777" w:rsidR="001F194A" w:rsidRPr="00FC4688" w:rsidRDefault="001F194A" w:rsidP="001F194A">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Préstamos</w:t>
            </w:r>
          </w:p>
        </w:tc>
        <w:tc>
          <w:tcPr>
            <w:tcW w:w="861" w:type="dxa"/>
            <w:tcBorders>
              <w:top w:val="nil"/>
              <w:left w:val="nil"/>
              <w:bottom w:val="nil"/>
              <w:right w:val="nil"/>
            </w:tcBorders>
            <w:shd w:val="clear" w:color="auto" w:fill="auto"/>
            <w:noWrap/>
            <w:vAlign w:val="center"/>
            <w:hideMark/>
          </w:tcPr>
          <w:p w14:paraId="0A953D79" w14:textId="67DE82F0" w:rsidR="001F194A" w:rsidRPr="002F6D59" w:rsidRDefault="001F194A" w:rsidP="001F194A">
            <w:pPr>
              <w:jc w:val="center"/>
              <w:rPr>
                <w:rFonts w:eastAsia="Times New Roman" w:cs="Times New Roman"/>
                <w:color w:val="000000"/>
                <w:sz w:val="16"/>
                <w:szCs w:val="16"/>
                <w:lang w:eastAsia="es-GT"/>
              </w:rPr>
            </w:pPr>
            <w:r>
              <w:rPr>
                <w:color w:val="000000"/>
                <w:sz w:val="16"/>
                <w:szCs w:val="16"/>
              </w:rPr>
              <w:t>-22.5</w:t>
            </w:r>
          </w:p>
        </w:tc>
        <w:tc>
          <w:tcPr>
            <w:tcW w:w="861" w:type="dxa"/>
            <w:tcBorders>
              <w:top w:val="nil"/>
              <w:left w:val="nil"/>
              <w:bottom w:val="nil"/>
              <w:right w:val="nil"/>
            </w:tcBorders>
            <w:shd w:val="clear" w:color="auto" w:fill="auto"/>
            <w:noWrap/>
            <w:vAlign w:val="center"/>
            <w:hideMark/>
          </w:tcPr>
          <w:p w14:paraId="1A640F1B" w14:textId="0CF3B7EA" w:rsidR="001F194A" w:rsidRPr="002F6D59" w:rsidRDefault="001F194A" w:rsidP="001F194A">
            <w:pPr>
              <w:jc w:val="center"/>
              <w:rPr>
                <w:rFonts w:eastAsia="Times New Roman" w:cs="Times New Roman"/>
                <w:color w:val="000000"/>
                <w:sz w:val="16"/>
                <w:szCs w:val="16"/>
                <w:lang w:eastAsia="es-GT"/>
              </w:rPr>
            </w:pPr>
            <w:r>
              <w:rPr>
                <w:color w:val="000000"/>
                <w:sz w:val="16"/>
                <w:szCs w:val="16"/>
              </w:rPr>
              <w:t>-29.1</w:t>
            </w:r>
          </w:p>
        </w:tc>
        <w:tc>
          <w:tcPr>
            <w:tcW w:w="861" w:type="dxa"/>
            <w:tcBorders>
              <w:top w:val="nil"/>
              <w:left w:val="dotDash" w:sz="4" w:space="0" w:color="auto"/>
              <w:bottom w:val="nil"/>
              <w:right w:val="nil"/>
            </w:tcBorders>
            <w:shd w:val="clear" w:color="auto" w:fill="auto"/>
            <w:noWrap/>
            <w:vAlign w:val="center"/>
            <w:hideMark/>
          </w:tcPr>
          <w:p w14:paraId="0BA44D39" w14:textId="3862C30D" w:rsidR="001F194A" w:rsidRPr="002F6D59" w:rsidRDefault="001F194A" w:rsidP="001F194A">
            <w:pPr>
              <w:jc w:val="center"/>
              <w:rPr>
                <w:rFonts w:eastAsia="Times New Roman" w:cs="Times New Roman"/>
                <w:color w:val="000000"/>
                <w:sz w:val="16"/>
                <w:szCs w:val="16"/>
                <w:lang w:eastAsia="es-GT"/>
              </w:rPr>
            </w:pPr>
            <w:r>
              <w:rPr>
                <w:color w:val="000000"/>
                <w:sz w:val="16"/>
                <w:szCs w:val="16"/>
              </w:rPr>
              <w:t>-6.6</w:t>
            </w:r>
          </w:p>
        </w:tc>
        <w:tc>
          <w:tcPr>
            <w:tcW w:w="906" w:type="dxa"/>
            <w:tcBorders>
              <w:top w:val="nil"/>
              <w:left w:val="nil"/>
              <w:bottom w:val="nil"/>
              <w:right w:val="nil"/>
            </w:tcBorders>
            <w:shd w:val="clear" w:color="auto" w:fill="auto"/>
            <w:noWrap/>
            <w:vAlign w:val="center"/>
            <w:hideMark/>
          </w:tcPr>
          <w:p w14:paraId="39334DB3" w14:textId="4D8EE585" w:rsidR="001F194A" w:rsidRPr="002F6D59" w:rsidRDefault="001F194A" w:rsidP="001F194A">
            <w:pPr>
              <w:jc w:val="center"/>
              <w:rPr>
                <w:rFonts w:eastAsia="Times New Roman" w:cs="Times New Roman"/>
                <w:color w:val="000000"/>
                <w:sz w:val="16"/>
                <w:szCs w:val="16"/>
                <w:lang w:eastAsia="es-GT"/>
              </w:rPr>
            </w:pPr>
            <w:r>
              <w:rPr>
                <w:color w:val="000000"/>
                <w:sz w:val="16"/>
                <w:szCs w:val="16"/>
              </w:rPr>
              <w:t>29.3</w:t>
            </w:r>
          </w:p>
        </w:tc>
      </w:tr>
      <w:tr w:rsidR="001F194A" w:rsidRPr="00FC4688" w14:paraId="6BBF7F75" w14:textId="584F1C32" w:rsidTr="007D65EB">
        <w:trPr>
          <w:trHeight w:val="252"/>
          <w:jc w:val="center"/>
        </w:trPr>
        <w:tc>
          <w:tcPr>
            <w:tcW w:w="3164" w:type="dxa"/>
            <w:tcBorders>
              <w:top w:val="nil"/>
              <w:left w:val="nil"/>
              <w:bottom w:val="nil"/>
              <w:right w:val="nil"/>
            </w:tcBorders>
            <w:shd w:val="clear" w:color="auto" w:fill="auto"/>
            <w:noWrap/>
            <w:vAlign w:val="center"/>
            <w:hideMark/>
          </w:tcPr>
          <w:p w14:paraId="1780DFF6" w14:textId="77777777" w:rsidR="001F194A" w:rsidRPr="00FC4688" w:rsidRDefault="001F194A" w:rsidP="001F194A">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Otros</w:t>
            </w:r>
          </w:p>
        </w:tc>
        <w:tc>
          <w:tcPr>
            <w:tcW w:w="861" w:type="dxa"/>
            <w:tcBorders>
              <w:top w:val="nil"/>
              <w:left w:val="nil"/>
              <w:bottom w:val="nil"/>
              <w:right w:val="nil"/>
            </w:tcBorders>
            <w:shd w:val="clear" w:color="auto" w:fill="auto"/>
            <w:noWrap/>
            <w:vAlign w:val="center"/>
            <w:hideMark/>
          </w:tcPr>
          <w:p w14:paraId="461C9C63" w14:textId="13614008" w:rsidR="001F194A" w:rsidRPr="002F6D59" w:rsidRDefault="001F194A" w:rsidP="001F194A">
            <w:pPr>
              <w:jc w:val="center"/>
              <w:rPr>
                <w:rFonts w:eastAsia="Times New Roman" w:cs="Times New Roman"/>
                <w:color w:val="000000"/>
                <w:sz w:val="16"/>
                <w:szCs w:val="16"/>
                <w:lang w:eastAsia="es-GT"/>
              </w:rPr>
            </w:pPr>
            <w:r>
              <w:rPr>
                <w:color w:val="000000"/>
                <w:sz w:val="16"/>
                <w:szCs w:val="16"/>
              </w:rPr>
              <w:t>0.0</w:t>
            </w:r>
          </w:p>
        </w:tc>
        <w:tc>
          <w:tcPr>
            <w:tcW w:w="861" w:type="dxa"/>
            <w:tcBorders>
              <w:top w:val="nil"/>
              <w:left w:val="nil"/>
              <w:bottom w:val="nil"/>
              <w:right w:val="nil"/>
            </w:tcBorders>
            <w:shd w:val="clear" w:color="auto" w:fill="auto"/>
            <w:noWrap/>
            <w:vAlign w:val="center"/>
            <w:hideMark/>
          </w:tcPr>
          <w:p w14:paraId="52A856C4" w14:textId="46E6A13C" w:rsidR="001F194A" w:rsidRPr="002F6D59" w:rsidRDefault="001F194A" w:rsidP="001F194A">
            <w:pPr>
              <w:jc w:val="center"/>
              <w:rPr>
                <w:rFonts w:eastAsia="Times New Roman" w:cs="Times New Roman"/>
                <w:color w:val="000000"/>
                <w:sz w:val="16"/>
                <w:szCs w:val="16"/>
                <w:lang w:eastAsia="es-GT"/>
              </w:rPr>
            </w:pPr>
            <w:r>
              <w:rPr>
                <w:color w:val="000000"/>
                <w:sz w:val="16"/>
                <w:szCs w:val="16"/>
              </w:rPr>
              <w:t>0.0</w:t>
            </w:r>
          </w:p>
        </w:tc>
        <w:tc>
          <w:tcPr>
            <w:tcW w:w="861" w:type="dxa"/>
            <w:tcBorders>
              <w:top w:val="nil"/>
              <w:left w:val="dotDash" w:sz="4" w:space="0" w:color="auto"/>
              <w:bottom w:val="nil"/>
              <w:right w:val="nil"/>
            </w:tcBorders>
            <w:shd w:val="clear" w:color="auto" w:fill="auto"/>
            <w:noWrap/>
            <w:vAlign w:val="center"/>
            <w:hideMark/>
          </w:tcPr>
          <w:p w14:paraId="1F15703A" w14:textId="3D7A13B3" w:rsidR="001F194A" w:rsidRPr="002F6D59" w:rsidRDefault="001F194A" w:rsidP="001F194A">
            <w:pPr>
              <w:jc w:val="center"/>
              <w:rPr>
                <w:rFonts w:eastAsia="Times New Roman" w:cs="Times New Roman"/>
                <w:color w:val="000000"/>
                <w:sz w:val="16"/>
                <w:szCs w:val="16"/>
                <w:lang w:eastAsia="es-GT"/>
              </w:rPr>
            </w:pPr>
            <w:r>
              <w:rPr>
                <w:color w:val="000000"/>
                <w:sz w:val="16"/>
                <w:szCs w:val="16"/>
              </w:rPr>
              <w:t>0.0</w:t>
            </w:r>
          </w:p>
        </w:tc>
        <w:tc>
          <w:tcPr>
            <w:tcW w:w="906" w:type="dxa"/>
            <w:tcBorders>
              <w:top w:val="nil"/>
              <w:left w:val="nil"/>
              <w:bottom w:val="nil"/>
              <w:right w:val="nil"/>
            </w:tcBorders>
            <w:shd w:val="clear" w:color="auto" w:fill="auto"/>
            <w:noWrap/>
            <w:vAlign w:val="center"/>
            <w:hideMark/>
          </w:tcPr>
          <w:p w14:paraId="147F1E71" w14:textId="5FF6AEE4" w:rsidR="001F194A" w:rsidRPr="002F6D59" w:rsidRDefault="00D915D7" w:rsidP="001F194A">
            <w:pPr>
              <w:jc w:val="center"/>
              <w:rPr>
                <w:rFonts w:eastAsia="Times New Roman" w:cs="Times New Roman"/>
                <w:color w:val="000000"/>
                <w:sz w:val="16"/>
                <w:szCs w:val="16"/>
                <w:lang w:eastAsia="es-GT"/>
              </w:rPr>
            </w:pPr>
            <w:r>
              <w:rPr>
                <w:rFonts w:eastAsia="Times New Roman" w:cs="Times New Roman"/>
                <w:color w:val="000000"/>
                <w:sz w:val="16"/>
                <w:szCs w:val="16"/>
                <w:lang w:eastAsia="es-GT"/>
              </w:rPr>
              <w:t>-</w:t>
            </w:r>
          </w:p>
        </w:tc>
      </w:tr>
      <w:tr w:rsidR="001F194A" w:rsidRPr="00FC4688" w14:paraId="2C6A1243" w14:textId="2211AC3B" w:rsidTr="007D65EB">
        <w:trPr>
          <w:trHeight w:val="252"/>
          <w:jc w:val="center"/>
        </w:trPr>
        <w:tc>
          <w:tcPr>
            <w:tcW w:w="3164" w:type="dxa"/>
            <w:tcBorders>
              <w:top w:val="nil"/>
              <w:left w:val="nil"/>
              <w:bottom w:val="nil"/>
              <w:right w:val="nil"/>
            </w:tcBorders>
            <w:shd w:val="clear" w:color="auto" w:fill="auto"/>
            <w:noWrap/>
            <w:vAlign w:val="center"/>
            <w:hideMark/>
          </w:tcPr>
          <w:p w14:paraId="2C89A45D" w14:textId="77777777" w:rsidR="001F194A" w:rsidRPr="00FC4688" w:rsidRDefault="001F194A" w:rsidP="001F194A">
            <w:pPr>
              <w:rPr>
                <w:rFonts w:eastAsia="Times New Roman" w:cs="Times New Roman"/>
                <w:b/>
                <w:bCs/>
                <w:color w:val="000000"/>
                <w:sz w:val="16"/>
                <w:szCs w:val="16"/>
                <w:lang w:eastAsia="es-GT"/>
              </w:rPr>
            </w:pPr>
            <w:r w:rsidRPr="00FC4688">
              <w:rPr>
                <w:rFonts w:eastAsia="Times New Roman" w:cs="Times New Roman"/>
                <w:b/>
                <w:bCs/>
                <w:color w:val="000000"/>
                <w:sz w:val="16"/>
                <w:szCs w:val="16"/>
                <w:lang w:eastAsia="es-GT"/>
              </w:rPr>
              <w:t>Incurrimiento neto de pasivos</w:t>
            </w:r>
          </w:p>
        </w:tc>
        <w:tc>
          <w:tcPr>
            <w:tcW w:w="861" w:type="dxa"/>
            <w:tcBorders>
              <w:top w:val="nil"/>
              <w:left w:val="nil"/>
              <w:bottom w:val="nil"/>
              <w:right w:val="nil"/>
            </w:tcBorders>
            <w:shd w:val="clear" w:color="auto" w:fill="auto"/>
            <w:noWrap/>
            <w:vAlign w:val="center"/>
            <w:hideMark/>
          </w:tcPr>
          <w:p w14:paraId="37735D2D" w14:textId="26DD9ECE" w:rsidR="001F194A" w:rsidRPr="002F6D59" w:rsidRDefault="001F194A" w:rsidP="001F194A">
            <w:pPr>
              <w:jc w:val="center"/>
              <w:rPr>
                <w:rFonts w:eastAsia="Times New Roman" w:cs="Times New Roman"/>
                <w:b/>
                <w:bCs/>
                <w:color w:val="000000"/>
                <w:sz w:val="16"/>
                <w:szCs w:val="16"/>
                <w:lang w:eastAsia="es-GT"/>
              </w:rPr>
            </w:pPr>
            <w:r>
              <w:rPr>
                <w:b/>
                <w:bCs/>
                <w:color w:val="000000"/>
                <w:sz w:val="16"/>
                <w:szCs w:val="16"/>
              </w:rPr>
              <w:t>-252.7</w:t>
            </w:r>
          </w:p>
        </w:tc>
        <w:tc>
          <w:tcPr>
            <w:tcW w:w="861" w:type="dxa"/>
            <w:tcBorders>
              <w:top w:val="nil"/>
              <w:left w:val="nil"/>
              <w:bottom w:val="nil"/>
              <w:right w:val="nil"/>
            </w:tcBorders>
            <w:shd w:val="clear" w:color="auto" w:fill="auto"/>
            <w:noWrap/>
            <w:vAlign w:val="center"/>
            <w:hideMark/>
          </w:tcPr>
          <w:p w14:paraId="5FCA5592" w14:textId="77EC07F4" w:rsidR="001F194A" w:rsidRPr="002F6D59" w:rsidRDefault="001F194A" w:rsidP="001F194A">
            <w:pPr>
              <w:jc w:val="center"/>
              <w:rPr>
                <w:rFonts w:eastAsia="Times New Roman" w:cs="Times New Roman"/>
                <w:b/>
                <w:bCs/>
                <w:color w:val="000000"/>
                <w:sz w:val="16"/>
                <w:szCs w:val="16"/>
                <w:lang w:eastAsia="es-GT"/>
              </w:rPr>
            </w:pPr>
            <w:r>
              <w:rPr>
                <w:b/>
                <w:bCs/>
                <w:color w:val="000000"/>
                <w:sz w:val="16"/>
                <w:szCs w:val="16"/>
              </w:rPr>
              <w:t>4,932.3</w:t>
            </w:r>
          </w:p>
        </w:tc>
        <w:tc>
          <w:tcPr>
            <w:tcW w:w="861" w:type="dxa"/>
            <w:tcBorders>
              <w:top w:val="nil"/>
              <w:left w:val="dotDash" w:sz="4" w:space="0" w:color="auto"/>
              <w:bottom w:val="nil"/>
              <w:right w:val="nil"/>
            </w:tcBorders>
            <w:shd w:val="clear" w:color="auto" w:fill="auto"/>
            <w:noWrap/>
            <w:vAlign w:val="center"/>
            <w:hideMark/>
          </w:tcPr>
          <w:p w14:paraId="7041B427" w14:textId="76B8257E" w:rsidR="001F194A" w:rsidRPr="002F6D59" w:rsidRDefault="001F194A" w:rsidP="001F194A">
            <w:pPr>
              <w:jc w:val="center"/>
              <w:rPr>
                <w:rFonts w:eastAsia="Times New Roman" w:cs="Times New Roman"/>
                <w:b/>
                <w:bCs/>
                <w:color w:val="000000"/>
                <w:sz w:val="16"/>
                <w:szCs w:val="16"/>
                <w:lang w:eastAsia="es-GT"/>
              </w:rPr>
            </w:pPr>
            <w:r>
              <w:rPr>
                <w:b/>
                <w:bCs/>
                <w:color w:val="000000"/>
                <w:sz w:val="16"/>
                <w:szCs w:val="16"/>
              </w:rPr>
              <w:t>5,185.1</w:t>
            </w:r>
          </w:p>
        </w:tc>
        <w:tc>
          <w:tcPr>
            <w:tcW w:w="906" w:type="dxa"/>
            <w:tcBorders>
              <w:top w:val="nil"/>
              <w:left w:val="nil"/>
              <w:bottom w:val="nil"/>
              <w:right w:val="nil"/>
            </w:tcBorders>
            <w:shd w:val="clear" w:color="auto" w:fill="auto"/>
            <w:noWrap/>
            <w:vAlign w:val="center"/>
            <w:hideMark/>
          </w:tcPr>
          <w:p w14:paraId="23A92E83" w14:textId="75E234D6" w:rsidR="001F194A" w:rsidRPr="002F6D59" w:rsidRDefault="001F194A" w:rsidP="001F194A">
            <w:pPr>
              <w:jc w:val="center"/>
              <w:rPr>
                <w:rFonts w:eastAsia="Times New Roman" w:cs="Times New Roman"/>
                <w:b/>
                <w:bCs/>
                <w:color w:val="000000"/>
                <w:sz w:val="16"/>
                <w:szCs w:val="16"/>
                <w:lang w:eastAsia="es-GT"/>
              </w:rPr>
            </w:pPr>
            <w:r>
              <w:rPr>
                <w:b/>
                <w:bCs/>
                <w:color w:val="000000"/>
                <w:sz w:val="16"/>
                <w:szCs w:val="16"/>
              </w:rPr>
              <w:t>-2,051.6</w:t>
            </w:r>
          </w:p>
        </w:tc>
      </w:tr>
      <w:tr w:rsidR="001F194A" w:rsidRPr="00FC4688" w14:paraId="105BB5D5" w14:textId="36CC9054" w:rsidTr="007D65EB">
        <w:trPr>
          <w:trHeight w:val="252"/>
          <w:jc w:val="center"/>
        </w:trPr>
        <w:tc>
          <w:tcPr>
            <w:tcW w:w="3164" w:type="dxa"/>
            <w:tcBorders>
              <w:top w:val="nil"/>
              <w:left w:val="nil"/>
              <w:bottom w:val="nil"/>
              <w:right w:val="nil"/>
            </w:tcBorders>
            <w:shd w:val="clear" w:color="auto" w:fill="auto"/>
            <w:noWrap/>
            <w:vAlign w:val="center"/>
            <w:hideMark/>
          </w:tcPr>
          <w:p w14:paraId="7C4B506E" w14:textId="77777777" w:rsidR="001F194A" w:rsidRPr="00FC4688" w:rsidRDefault="001F194A" w:rsidP="001F194A">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Títulos de deuda</w:t>
            </w:r>
          </w:p>
        </w:tc>
        <w:tc>
          <w:tcPr>
            <w:tcW w:w="861" w:type="dxa"/>
            <w:tcBorders>
              <w:top w:val="nil"/>
              <w:left w:val="nil"/>
              <w:bottom w:val="nil"/>
              <w:right w:val="nil"/>
            </w:tcBorders>
            <w:shd w:val="clear" w:color="auto" w:fill="auto"/>
            <w:noWrap/>
            <w:vAlign w:val="center"/>
            <w:hideMark/>
          </w:tcPr>
          <w:p w14:paraId="70597FB9" w14:textId="071AAAF9" w:rsidR="001F194A" w:rsidRPr="002F6D59" w:rsidRDefault="001F194A" w:rsidP="001F194A">
            <w:pPr>
              <w:jc w:val="center"/>
              <w:rPr>
                <w:rFonts w:eastAsia="Times New Roman" w:cs="Times New Roman"/>
                <w:color w:val="000000"/>
                <w:sz w:val="16"/>
                <w:szCs w:val="16"/>
                <w:lang w:eastAsia="es-GT"/>
              </w:rPr>
            </w:pPr>
            <w:r>
              <w:rPr>
                <w:color w:val="000000"/>
                <w:sz w:val="16"/>
                <w:szCs w:val="16"/>
              </w:rPr>
              <w:t>820.2</w:t>
            </w:r>
          </w:p>
        </w:tc>
        <w:tc>
          <w:tcPr>
            <w:tcW w:w="861" w:type="dxa"/>
            <w:tcBorders>
              <w:top w:val="nil"/>
              <w:left w:val="nil"/>
              <w:bottom w:val="nil"/>
              <w:right w:val="nil"/>
            </w:tcBorders>
            <w:shd w:val="clear" w:color="auto" w:fill="auto"/>
            <w:noWrap/>
            <w:vAlign w:val="center"/>
            <w:hideMark/>
          </w:tcPr>
          <w:p w14:paraId="3485CE79" w14:textId="7FCF868D" w:rsidR="001F194A" w:rsidRPr="002F6D59" w:rsidRDefault="001F194A" w:rsidP="001F194A">
            <w:pPr>
              <w:jc w:val="center"/>
              <w:rPr>
                <w:rFonts w:eastAsia="Times New Roman" w:cs="Times New Roman"/>
                <w:color w:val="000000"/>
                <w:sz w:val="16"/>
                <w:szCs w:val="16"/>
                <w:lang w:eastAsia="es-GT"/>
              </w:rPr>
            </w:pPr>
            <w:r>
              <w:rPr>
                <w:color w:val="000000"/>
                <w:sz w:val="16"/>
                <w:szCs w:val="16"/>
              </w:rPr>
              <w:t>5,822.8</w:t>
            </w:r>
          </w:p>
        </w:tc>
        <w:tc>
          <w:tcPr>
            <w:tcW w:w="861" w:type="dxa"/>
            <w:tcBorders>
              <w:top w:val="nil"/>
              <w:left w:val="dotDash" w:sz="4" w:space="0" w:color="auto"/>
              <w:bottom w:val="nil"/>
              <w:right w:val="nil"/>
            </w:tcBorders>
            <w:shd w:val="clear" w:color="auto" w:fill="auto"/>
            <w:noWrap/>
            <w:vAlign w:val="center"/>
            <w:hideMark/>
          </w:tcPr>
          <w:p w14:paraId="0C4ED1F3" w14:textId="0F5A607D" w:rsidR="001F194A" w:rsidRPr="002F6D59" w:rsidRDefault="001F194A" w:rsidP="001F194A">
            <w:pPr>
              <w:jc w:val="center"/>
              <w:rPr>
                <w:rFonts w:eastAsia="Times New Roman" w:cs="Times New Roman"/>
                <w:color w:val="000000"/>
                <w:sz w:val="16"/>
                <w:szCs w:val="16"/>
                <w:lang w:eastAsia="es-GT"/>
              </w:rPr>
            </w:pPr>
            <w:r>
              <w:rPr>
                <w:color w:val="000000"/>
                <w:sz w:val="16"/>
                <w:szCs w:val="16"/>
              </w:rPr>
              <w:t>5,002.6</w:t>
            </w:r>
          </w:p>
        </w:tc>
        <w:tc>
          <w:tcPr>
            <w:tcW w:w="906" w:type="dxa"/>
            <w:tcBorders>
              <w:top w:val="nil"/>
              <w:left w:val="nil"/>
              <w:bottom w:val="nil"/>
              <w:right w:val="nil"/>
            </w:tcBorders>
            <w:shd w:val="clear" w:color="auto" w:fill="auto"/>
            <w:noWrap/>
            <w:vAlign w:val="center"/>
            <w:hideMark/>
          </w:tcPr>
          <w:p w14:paraId="46D91086" w14:textId="09A5EAE7" w:rsidR="001F194A" w:rsidRPr="002F6D59" w:rsidRDefault="001F194A" w:rsidP="001F194A">
            <w:pPr>
              <w:jc w:val="center"/>
              <w:rPr>
                <w:rFonts w:eastAsia="Times New Roman" w:cs="Times New Roman"/>
                <w:color w:val="000000"/>
                <w:sz w:val="16"/>
                <w:szCs w:val="16"/>
                <w:lang w:eastAsia="es-GT"/>
              </w:rPr>
            </w:pPr>
            <w:r>
              <w:rPr>
                <w:color w:val="000000"/>
                <w:sz w:val="16"/>
                <w:szCs w:val="16"/>
              </w:rPr>
              <w:t>610.0</w:t>
            </w:r>
          </w:p>
        </w:tc>
      </w:tr>
      <w:tr w:rsidR="001F194A" w:rsidRPr="00FC4688" w14:paraId="0146A179" w14:textId="1D0C2587" w:rsidTr="007D65EB">
        <w:trPr>
          <w:trHeight w:val="252"/>
          <w:jc w:val="center"/>
        </w:trPr>
        <w:tc>
          <w:tcPr>
            <w:tcW w:w="3164" w:type="dxa"/>
            <w:tcBorders>
              <w:top w:val="nil"/>
              <w:left w:val="nil"/>
              <w:bottom w:val="nil"/>
              <w:right w:val="nil"/>
            </w:tcBorders>
            <w:shd w:val="clear" w:color="auto" w:fill="auto"/>
            <w:noWrap/>
            <w:vAlign w:val="center"/>
            <w:hideMark/>
          </w:tcPr>
          <w:p w14:paraId="295B54FE" w14:textId="77777777" w:rsidR="001F194A" w:rsidRPr="00FC4688" w:rsidRDefault="001F194A" w:rsidP="001F194A">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Préstamos</w:t>
            </w:r>
          </w:p>
        </w:tc>
        <w:tc>
          <w:tcPr>
            <w:tcW w:w="861" w:type="dxa"/>
            <w:tcBorders>
              <w:top w:val="nil"/>
              <w:left w:val="nil"/>
              <w:bottom w:val="nil"/>
              <w:right w:val="nil"/>
            </w:tcBorders>
            <w:shd w:val="clear" w:color="auto" w:fill="auto"/>
            <w:noWrap/>
            <w:vAlign w:val="center"/>
            <w:hideMark/>
          </w:tcPr>
          <w:p w14:paraId="2FD858FC" w14:textId="2A89A225" w:rsidR="001F194A" w:rsidRPr="002F6D59" w:rsidRDefault="001F194A" w:rsidP="001F194A">
            <w:pPr>
              <w:jc w:val="center"/>
              <w:rPr>
                <w:rFonts w:eastAsia="Times New Roman" w:cs="Times New Roman"/>
                <w:color w:val="000000"/>
                <w:sz w:val="16"/>
                <w:szCs w:val="16"/>
                <w:lang w:eastAsia="es-GT"/>
              </w:rPr>
            </w:pPr>
            <w:r>
              <w:rPr>
                <w:color w:val="000000"/>
                <w:sz w:val="16"/>
                <w:szCs w:val="16"/>
              </w:rPr>
              <w:t>-1,086.3</w:t>
            </w:r>
          </w:p>
        </w:tc>
        <w:tc>
          <w:tcPr>
            <w:tcW w:w="861" w:type="dxa"/>
            <w:tcBorders>
              <w:top w:val="nil"/>
              <w:left w:val="nil"/>
              <w:bottom w:val="nil"/>
              <w:right w:val="nil"/>
            </w:tcBorders>
            <w:shd w:val="clear" w:color="auto" w:fill="auto"/>
            <w:noWrap/>
            <w:vAlign w:val="center"/>
            <w:hideMark/>
          </w:tcPr>
          <w:p w14:paraId="19DA84AE" w14:textId="0CAADC1E" w:rsidR="001F194A" w:rsidRPr="002F6D59" w:rsidRDefault="001F194A" w:rsidP="001F194A">
            <w:pPr>
              <w:jc w:val="center"/>
              <w:rPr>
                <w:rFonts w:eastAsia="Times New Roman" w:cs="Times New Roman"/>
                <w:color w:val="000000"/>
                <w:sz w:val="16"/>
                <w:szCs w:val="16"/>
                <w:lang w:eastAsia="es-GT"/>
              </w:rPr>
            </w:pPr>
            <w:r>
              <w:rPr>
                <w:color w:val="000000"/>
                <w:sz w:val="16"/>
                <w:szCs w:val="16"/>
              </w:rPr>
              <w:t>-850.4</w:t>
            </w:r>
          </w:p>
        </w:tc>
        <w:tc>
          <w:tcPr>
            <w:tcW w:w="861" w:type="dxa"/>
            <w:tcBorders>
              <w:top w:val="nil"/>
              <w:left w:val="dotDash" w:sz="4" w:space="0" w:color="auto"/>
              <w:bottom w:val="nil"/>
              <w:right w:val="nil"/>
            </w:tcBorders>
            <w:shd w:val="clear" w:color="auto" w:fill="auto"/>
            <w:noWrap/>
            <w:vAlign w:val="center"/>
            <w:hideMark/>
          </w:tcPr>
          <w:p w14:paraId="6F20C579" w14:textId="36D22C23" w:rsidR="001F194A" w:rsidRPr="002F6D59" w:rsidRDefault="001F194A" w:rsidP="001F194A">
            <w:pPr>
              <w:jc w:val="center"/>
              <w:rPr>
                <w:rFonts w:eastAsia="Times New Roman" w:cs="Times New Roman"/>
                <w:color w:val="000000"/>
                <w:sz w:val="16"/>
                <w:szCs w:val="16"/>
                <w:lang w:eastAsia="es-GT"/>
              </w:rPr>
            </w:pPr>
            <w:r>
              <w:rPr>
                <w:color w:val="000000"/>
                <w:sz w:val="16"/>
                <w:szCs w:val="16"/>
              </w:rPr>
              <w:t>235.9</w:t>
            </w:r>
          </w:p>
        </w:tc>
        <w:tc>
          <w:tcPr>
            <w:tcW w:w="906" w:type="dxa"/>
            <w:tcBorders>
              <w:top w:val="nil"/>
              <w:left w:val="nil"/>
              <w:bottom w:val="nil"/>
              <w:right w:val="nil"/>
            </w:tcBorders>
            <w:shd w:val="clear" w:color="auto" w:fill="auto"/>
            <w:noWrap/>
            <w:vAlign w:val="center"/>
            <w:hideMark/>
          </w:tcPr>
          <w:p w14:paraId="5744B0FC" w14:textId="277537E7" w:rsidR="001F194A" w:rsidRPr="002F6D59" w:rsidRDefault="001F194A" w:rsidP="001F194A">
            <w:pPr>
              <w:jc w:val="center"/>
              <w:rPr>
                <w:rFonts w:eastAsia="Times New Roman" w:cs="Times New Roman"/>
                <w:color w:val="000000"/>
                <w:sz w:val="16"/>
                <w:szCs w:val="16"/>
                <w:lang w:eastAsia="es-GT"/>
              </w:rPr>
            </w:pPr>
            <w:r>
              <w:rPr>
                <w:color w:val="000000"/>
                <w:sz w:val="16"/>
                <w:szCs w:val="16"/>
              </w:rPr>
              <w:t>-21.7</w:t>
            </w:r>
          </w:p>
        </w:tc>
      </w:tr>
      <w:tr w:rsidR="001F194A" w:rsidRPr="00FC4688" w14:paraId="53DE527D" w14:textId="1AEB5FC3" w:rsidTr="007D65EB">
        <w:trPr>
          <w:trHeight w:val="252"/>
          <w:jc w:val="center"/>
        </w:trPr>
        <w:tc>
          <w:tcPr>
            <w:tcW w:w="3164" w:type="dxa"/>
            <w:tcBorders>
              <w:top w:val="nil"/>
              <w:left w:val="nil"/>
              <w:bottom w:val="nil"/>
              <w:right w:val="nil"/>
            </w:tcBorders>
            <w:shd w:val="clear" w:color="auto" w:fill="auto"/>
            <w:noWrap/>
            <w:vAlign w:val="center"/>
            <w:hideMark/>
          </w:tcPr>
          <w:p w14:paraId="0DAD3DFB" w14:textId="77777777" w:rsidR="001F194A" w:rsidRPr="00FC4688" w:rsidRDefault="001F194A" w:rsidP="001F194A">
            <w:pPr>
              <w:ind w:firstLineChars="100" w:firstLine="160"/>
              <w:jc w:val="left"/>
              <w:rPr>
                <w:rFonts w:eastAsia="Times New Roman" w:cs="Times New Roman"/>
                <w:color w:val="000000"/>
                <w:sz w:val="16"/>
                <w:szCs w:val="16"/>
                <w:lang w:eastAsia="es-GT"/>
              </w:rPr>
            </w:pPr>
            <w:r w:rsidRPr="00FC4688">
              <w:rPr>
                <w:rFonts w:eastAsia="Times New Roman" w:cs="Times New Roman"/>
                <w:color w:val="000000"/>
                <w:sz w:val="16"/>
                <w:szCs w:val="16"/>
                <w:lang w:eastAsia="es-GT"/>
              </w:rPr>
              <w:t>Otros</w:t>
            </w:r>
          </w:p>
        </w:tc>
        <w:tc>
          <w:tcPr>
            <w:tcW w:w="861" w:type="dxa"/>
            <w:tcBorders>
              <w:top w:val="nil"/>
              <w:left w:val="nil"/>
              <w:bottom w:val="nil"/>
              <w:right w:val="nil"/>
            </w:tcBorders>
            <w:shd w:val="clear" w:color="auto" w:fill="auto"/>
            <w:noWrap/>
            <w:vAlign w:val="center"/>
            <w:hideMark/>
          </w:tcPr>
          <w:p w14:paraId="4A2F814E" w14:textId="0FA2089B" w:rsidR="001F194A" w:rsidRPr="002F6D59" w:rsidRDefault="001F194A" w:rsidP="001F194A">
            <w:pPr>
              <w:jc w:val="center"/>
              <w:rPr>
                <w:rFonts w:eastAsia="Times New Roman" w:cs="Times New Roman"/>
                <w:color w:val="000000"/>
                <w:sz w:val="16"/>
                <w:szCs w:val="16"/>
                <w:lang w:eastAsia="es-GT"/>
              </w:rPr>
            </w:pPr>
            <w:r>
              <w:rPr>
                <w:color w:val="000000"/>
                <w:sz w:val="16"/>
                <w:szCs w:val="16"/>
              </w:rPr>
              <w:t>13.4</w:t>
            </w:r>
          </w:p>
        </w:tc>
        <w:tc>
          <w:tcPr>
            <w:tcW w:w="861" w:type="dxa"/>
            <w:tcBorders>
              <w:top w:val="nil"/>
              <w:left w:val="nil"/>
              <w:bottom w:val="nil"/>
              <w:right w:val="nil"/>
            </w:tcBorders>
            <w:shd w:val="clear" w:color="auto" w:fill="auto"/>
            <w:noWrap/>
            <w:vAlign w:val="center"/>
            <w:hideMark/>
          </w:tcPr>
          <w:p w14:paraId="1B805861" w14:textId="2DA56DBD" w:rsidR="001F194A" w:rsidRPr="002F6D59" w:rsidRDefault="001F194A" w:rsidP="001F194A">
            <w:pPr>
              <w:jc w:val="center"/>
              <w:rPr>
                <w:rFonts w:eastAsia="Times New Roman" w:cs="Times New Roman"/>
                <w:color w:val="000000"/>
                <w:sz w:val="16"/>
                <w:szCs w:val="16"/>
                <w:lang w:eastAsia="es-GT"/>
              </w:rPr>
            </w:pPr>
            <w:r>
              <w:rPr>
                <w:color w:val="000000"/>
                <w:sz w:val="16"/>
                <w:szCs w:val="16"/>
              </w:rPr>
              <w:t>-40.0</w:t>
            </w:r>
          </w:p>
        </w:tc>
        <w:tc>
          <w:tcPr>
            <w:tcW w:w="861" w:type="dxa"/>
            <w:tcBorders>
              <w:top w:val="nil"/>
              <w:left w:val="dotDash" w:sz="4" w:space="0" w:color="auto"/>
              <w:bottom w:val="nil"/>
              <w:right w:val="nil"/>
            </w:tcBorders>
            <w:shd w:val="clear" w:color="auto" w:fill="auto"/>
            <w:noWrap/>
            <w:vAlign w:val="center"/>
            <w:hideMark/>
          </w:tcPr>
          <w:p w14:paraId="25CB4487" w14:textId="61B088E5" w:rsidR="001F194A" w:rsidRPr="002F6D59" w:rsidRDefault="001F194A" w:rsidP="001F194A">
            <w:pPr>
              <w:jc w:val="center"/>
              <w:rPr>
                <w:rFonts w:eastAsia="Times New Roman" w:cs="Times New Roman"/>
                <w:color w:val="000000"/>
                <w:sz w:val="16"/>
                <w:szCs w:val="16"/>
                <w:lang w:eastAsia="es-GT"/>
              </w:rPr>
            </w:pPr>
            <w:r>
              <w:rPr>
                <w:color w:val="000000"/>
                <w:sz w:val="16"/>
                <w:szCs w:val="16"/>
              </w:rPr>
              <w:t>-53.5</w:t>
            </w:r>
          </w:p>
        </w:tc>
        <w:tc>
          <w:tcPr>
            <w:tcW w:w="906" w:type="dxa"/>
            <w:tcBorders>
              <w:top w:val="nil"/>
              <w:left w:val="nil"/>
              <w:bottom w:val="nil"/>
              <w:right w:val="nil"/>
            </w:tcBorders>
            <w:shd w:val="clear" w:color="auto" w:fill="auto"/>
            <w:noWrap/>
            <w:vAlign w:val="center"/>
            <w:hideMark/>
          </w:tcPr>
          <w:p w14:paraId="0210A6DE" w14:textId="7C3C2413" w:rsidR="001F194A" w:rsidRPr="002F6D59" w:rsidRDefault="001F194A" w:rsidP="001F194A">
            <w:pPr>
              <w:jc w:val="center"/>
              <w:rPr>
                <w:rFonts w:eastAsia="Times New Roman" w:cs="Times New Roman"/>
                <w:color w:val="000000"/>
                <w:sz w:val="16"/>
                <w:szCs w:val="16"/>
                <w:lang w:eastAsia="es-GT"/>
              </w:rPr>
            </w:pPr>
            <w:r>
              <w:rPr>
                <w:color w:val="000000"/>
                <w:sz w:val="16"/>
                <w:szCs w:val="16"/>
              </w:rPr>
              <w:t>-397.6</w:t>
            </w:r>
          </w:p>
        </w:tc>
      </w:tr>
      <w:tr w:rsidR="001F194A" w:rsidRPr="00FC4688" w14:paraId="2B640124" w14:textId="4FB54084" w:rsidTr="007D65EB">
        <w:trPr>
          <w:trHeight w:val="252"/>
          <w:jc w:val="center"/>
        </w:trPr>
        <w:tc>
          <w:tcPr>
            <w:tcW w:w="3164" w:type="dxa"/>
            <w:tcBorders>
              <w:top w:val="nil"/>
              <w:left w:val="nil"/>
              <w:bottom w:val="nil"/>
              <w:right w:val="nil"/>
            </w:tcBorders>
            <w:shd w:val="clear" w:color="auto" w:fill="auto"/>
            <w:noWrap/>
            <w:vAlign w:val="center"/>
            <w:hideMark/>
          </w:tcPr>
          <w:p w14:paraId="130F55F7" w14:textId="77777777" w:rsidR="001F194A" w:rsidRPr="00FC4688" w:rsidRDefault="001F194A" w:rsidP="001F194A">
            <w:pPr>
              <w:rPr>
                <w:rFonts w:eastAsia="Times New Roman" w:cs="Times New Roman"/>
                <w:b/>
                <w:bCs/>
                <w:color w:val="000000"/>
                <w:sz w:val="16"/>
                <w:szCs w:val="16"/>
                <w:lang w:eastAsia="es-GT"/>
              </w:rPr>
            </w:pPr>
            <w:r w:rsidRPr="00FC4688">
              <w:rPr>
                <w:rFonts w:eastAsia="Times New Roman" w:cs="Times New Roman"/>
                <w:b/>
                <w:bCs/>
                <w:color w:val="000000"/>
                <w:sz w:val="16"/>
                <w:szCs w:val="16"/>
                <w:lang w:eastAsia="es-GT"/>
              </w:rPr>
              <w:t>Discrepancia estadística global</w:t>
            </w:r>
          </w:p>
        </w:tc>
        <w:tc>
          <w:tcPr>
            <w:tcW w:w="861" w:type="dxa"/>
            <w:tcBorders>
              <w:top w:val="nil"/>
              <w:left w:val="nil"/>
              <w:bottom w:val="nil"/>
              <w:right w:val="nil"/>
            </w:tcBorders>
            <w:shd w:val="clear" w:color="auto" w:fill="auto"/>
            <w:noWrap/>
            <w:vAlign w:val="center"/>
            <w:hideMark/>
          </w:tcPr>
          <w:p w14:paraId="4E6192F6" w14:textId="16708698" w:rsidR="001F194A" w:rsidRPr="002F6D59" w:rsidRDefault="001F194A" w:rsidP="001F194A">
            <w:pPr>
              <w:jc w:val="center"/>
              <w:rPr>
                <w:rFonts w:eastAsia="Times New Roman" w:cs="Times New Roman"/>
                <w:b/>
                <w:bCs/>
                <w:color w:val="000000"/>
                <w:sz w:val="16"/>
                <w:szCs w:val="16"/>
                <w:lang w:eastAsia="es-GT"/>
              </w:rPr>
            </w:pPr>
            <w:r>
              <w:rPr>
                <w:b/>
                <w:bCs/>
                <w:color w:val="000000"/>
                <w:sz w:val="16"/>
                <w:szCs w:val="16"/>
              </w:rPr>
              <w:t>445.6</w:t>
            </w:r>
          </w:p>
        </w:tc>
        <w:tc>
          <w:tcPr>
            <w:tcW w:w="861" w:type="dxa"/>
            <w:tcBorders>
              <w:top w:val="nil"/>
              <w:left w:val="nil"/>
              <w:bottom w:val="nil"/>
              <w:right w:val="nil"/>
            </w:tcBorders>
            <w:shd w:val="clear" w:color="auto" w:fill="auto"/>
            <w:noWrap/>
            <w:vAlign w:val="center"/>
            <w:hideMark/>
          </w:tcPr>
          <w:p w14:paraId="104FC3FB" w14:textId="693F85DF" w:rsidR="001F194A" w:rsidRPr="002F6D59" w:rsidRDefault="001F194A" w:rsidP="001F194A">
            <w:pPr>
              <w:jc w:val="center"/>
              <w:rPr>
                <w:rFonts w:eastAsia="Times New Roman" w:cs="Times New Roman"/>
                <w:b/>
                <w:bCs/>
                <w:color w:val="000000"/>
                <w:sz w:val="16"/>
                <w:szCs w:val="16"/>
                <w:lang w:eastAsia="es-GT"/>
              </w:rPr>
            </w:pPr>
            <w:r>
              <w:rPr>
                <w:b/>
                <w:bCs/>
                <w:color w:val="000000"/>
                <w:sz w:val="16"/>
                <w:szCs w:val="16"/>
              </w:rPr>
              <w:t>660.8</w:t>
            </w:r>
          </w:p>
        </w:tc>
        <w:tc>
          <w:tcPr>
            <w:tcW w:w="861" w:type="dxa"/>
            <w:tcBorders>
              <w:top w:val="nil"/>
              <w:left w:val="dotDash" w:sz="4" w:space="0" w:color="auto"/>
              <w:bottom w:val="nil"/>
              <w:right w:val="nil"/>
            </w:tcBorders>
            <w:shd w:val="clear" w:color="auto" w:fill="auto"/>
            <w:noWrap/>
            <w:vAlign w:val="center"/>
            <w:hideMark/>
          </w:tcPr>
          <w:p w14:paraId="5F1E3B24" w14:textId="220C99D8" w:rsidR="001F194A" w:rsidRPr="002F6D59" w:rsidRDefault="001F194A" w:rsidP="001F194A">
            <w:pPr>
              <w:jc w:val="center"/>
              <w:rPr>
                <w:rFonts w:eastAsia="Times New Roman" w:cs="Times New Roman"/>
                <w:b/>
                <w:bCs/>
                <w:color w:val="000000"/>
                <w:sz w:val="16"/>
                <w:szCs w:val="16"/>
                <w:lang w:eastAsia="es-GT"/>
              </w:rPr>
            </w:pPr>
            <w:r>
              <w:rPr>
                <w:b/>
                <w:bCs/>
                <w:color w:val="000000"/>
                <w:sz w:val="16"/>
                <w:szCs w:val="16"/>
              </w:rPr>
              <w:t>215.2</w:t>
            </w:r>
          </w:p>
        </w:tc>
        <w:tc>
          <w:tcPr>
            <w:tcW w:w="906" w:type="dxa"/>
            <w:tcBorders>
              <w:top w:val="nil"/>
              <w:left w:val="nil"/>
              <w:bottom w:val="nil"/>
              <w:right w:val="nil"/>
            </w:tcBorders>
            <w:shd w:val="clear" w:color="auto" w:fill="auto"/>
            <w:noWrap/>
            <w:vAlign w:val="center"/>
            <w:hideMark/>
          </w:tcPr>
          <w:p w14:paraId="25CFAE72" w14:textId="5DB84383" w:rsidR="001F194A" w:rsidRPr="002F6D59" w:rsidRDefault="001F194A" w:rsidP="001F194A">
            <w:pPr>
              <w:jc w:val="center"/>
              <w:rPr>
                <w:rFonts w:eastAsia="Times New Roman" w:cs="Times New Roman"/>
                <w:b/>
                <w:bCs/>
                <w:color w:val="000000"/>
                <w:sz w:val="16"/>
                <w:szCs w:val="16"/>
                <w:lang w:eastAsia="es-GT"/>
              </w:rPr>
            </w:pPr>
            <w:r>
              <w:rPr>
                <w:b/>
                <w:bCs/>
                <w:color w:val="000000"/>
                <w:sz w:val="16"/>
                <w:szCs w:val="16"/>
              </w:rPr>
              <w:t>48.3</w:t>
            </w:r>
          </w:p>
        </w:tc>
      </w:tr>
    </w:tbl>
    <w:p w14:paraId="3350F89B" w14:textId="7F5F675D" w:rsidR="003C303F" w:rsidRPr="00FC4688" w:rsidRDefault="003C303F" w:rsidP="00BB2FE3">
      <w:pPr>
        <w:ind w:left="709" w:firstLine="708"/>
        <w:rPr>
          <w:rFonts w:cs="Times New Roman"/>
          <w:sz w:val="16"/>
          <w:szCs w:val="22"/>
          <w:lang w:val="es-MX"/>
        </w:rPr>
      </w:pPr>
      <w:r w:rsidRPr="00FC4688">
        <w:rPr>
          <w:rFonts w:cs="Times New Roman"/>
          <w:sz w:val="16"/>
          <w:szCs w:val="22"/>
          <w:lang w:val="es-MX"/>
        </w:rPr>
        <w:t>*Cifras preliminares</w:t>
      </w:r>
    </w:p>
    <w:p w14:paraId="445E1632" w14:textId="77777777" w:rsidR="003C303F" w:rsidRDefault="003C303F" w:rsidP="00BB2FE3">
      <w:pPr>
        <w:ind w:left="709" w:firstLine="708"/>
        <w:rPr>
          <w:rFonts w:cs="Times New Roman"/>
          <w:sz w:val="16"/>
          <w:szCs w:val="22"/>
          <w:lang w:val="es-MX"/>
        </w:rPr>
      </w:pPr>
      <w:r w:rsidRPr="00FC4688">
        <w:rPr>
          <w:rFonts w:cs="Times New Roman"/>
          <w:sz w:val="16"/>
          <w:szCs w:val="22"/>
          <w:lang w:val="es-MX"/>
        </w:rPr>
        <w:t>Fuente: MINFIN</w:t>
      </w:r>
    </w:p>
    <w:p w14:paraId="6886455E" w14:textId="77777777" w:rsidR="006939D7" w:rsidRPr="00BF230D" w:rsidRDefault="006939D7" w:rsidP="007105EE">
      <w:pPr>
        <w:ind w:left="1134"/>
        <w:rPr>
          <w:rFonts w:cs="Times New Roman"/>
          <w:sz w:val="16"/>
          <w:szCs w:val="22"/>
          <w:lang w:val="es-MX"/>
        </w:rPr>
      </w:pPr>
    </w:p>
    <w:sectPr w:rsidR="006939D7" w:rsidRPr="00BF230D" w:rsidSect="0032077E">
      <w:headerReference w:type="default" r:id="rId46"/>
      <w:footerReference w:type="default" r:id="rId47"/>
      <w:headerReference w:type="first" r:id="rId48"/>
      <w:footerReference w:type="first" r:id="rId49"/>
      <w:type w:val="continuous"/>
      <w:pgSz w:w="12240" w:h="15840" w:code="1"/>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9C922" w14:textId="77777777" w:rsidR="00436492" w:rsidRDefault="00436492" w:rsidP="000B5E1C">
      <w:r>
        <w:separator/>
      </w:r>
    </w:p>
  </w:endnote>
  <w:endnote w:type="continuationSeparator" w:id="0">
    <w:p w14:paraId="2762DA04" w14:textId="77777777" w:rsidR="00436492" w:rsidRDefault="00436492" w:rsidP="000B5E1C">
      <w:r>
        <w:continuationSeparator/>
      </w:r>
    </w:p>
  </w:endnote>
  <w:endnote w:type="continuationNotice" w:id="1">
    <w:p w14:paraId="7882A39C" w14:textId="77777777" w:rsidR="00436492" w:rsidRDefault="004364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i/>
        <w:color w:val="1F497D" w:themeColor="text2"/>
        <w:lang w:val="es-ES"/>
      </w:rPr>
      <w:id w:val="1089358670"/>
      <w:docPartObj>
        <w:docPartGallery w:val="Page Numbers (Bottom of Page)"/>
        <w:docPartUnique/>
      </w:docPartObj>
    </w:sdtPr>
    <w:sdtEndPr/>
    <w:sdtContent>
      <w:p w14:paraId="040AFEF9" w14:textId="77777777" w:rsidR="000A5B5B" w:rsidRPr="00AC45C7" w:rsidRDefault="000A5B5B">
        <w:pPr>
          <w:pStyle w:val="Piedepgina"/>
          <w:jc w:val="right"/>
          <w:rPr>
            <w:rFonts w:cs="Times New Roman"/>
            <w:i/>
            <w:color w:val="1F497D" w:themeColor="text2"/>
          </w:rPr>
        </w:pPr>
        <w:r>
          <w:rPr>
            <w:rFonts w:cs="Times New Roman"/>
            <w:i/>
            <w:noProof/>
            <w:color w:val="1F497D" w:themeColor="text2"/>
            <w:lang w:eastAsia="es-GT"/>
          </w:rPr>
          <mc:AlternateContent>
            <mc:Choice Requires="wps">
              <w:drawing>
                <wp:anchor distT="0" distB="0" distL="114300" distR="114300" simplePos="0" relativeHeight="251658240" behindDoc="0" locked="0" layoutInCell="1" allowOverlap="1" wp14:anchorId="1B4743A9" wp14:editId="17FB757A">
                  <wp:simplePos x="0" y="0"/>
                  <wp:positionH relativeFrom="column">
                    <wp:posOffset>77580</wp:posOffset>
                  </wp:positionH>
                  <wp:positionV relativeFrom="paragraph">
                    <wp:posOffset>-58006</wp:posOffset>
                  </wp:positionV>
                  <wp:extent cx="6027089" cy="47708"/>
                  <wp:effectExtent l="0" t="0" r="12065" b="28575"/>
                  <wp:wrapNone/>
                  <wp:docPr id="43" name="43 Rectángulo"/>
                  <wp:cNvGraphicFramePr/>
                  <a:graphic xmlns:a="http://schemas.openxmlformats.org/drawingml/2006/main">
                    <a:graphicData uri="http://schemas.microsoft.com/office/word/2010/wordprocessingShape">
                      <wps:wsp>
                        <wps:cNvSpPr/>
                        <wps:spPr>
                          <a:xfrm>
                            <a:off x="0" y="0"/>
                            <a:ext cx="6027089" cy="47708"/>
                          </a:xfrm>
                          <a:prstGeom prst="rect">
                            <a:avLst/>
                          </a:prstGeom>
                          <a:gradFill flip="none" rotWithShape="1">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0" scaled="0"/>
                            <a:tileRect/>
                          </a:gradFill>
                          <a:ln>
                            <a:gradFill>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5400000" scaled="0"/>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7B29CC" id="43 Rectángulo" o:spid="_x0000_s1026" style="position:absolute;margin-left:6.1pt;margin-top:-4.55pt;width:474.55pt;height:3.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" fillcolor="#8aabd3 [2132]" strokeweight="2pt">
                  <v:fill color2="#f2f2f2 [3052]" rotate="t" angle="90" colors="0 #9ab5e4;50463f #c2d1ed;58327f #e1e8f5;64881f #f2f2f2" focus="100%" type="gradient">
                    <o:fill v:ext="view" type="gradientUnscaled"/>
                  </v:fill>
                </v:rect>
              </w:pict>
            </mc:Fallback>
          </mc:AlternateContent>
        </w:r>
        <w:r w:rsidRPr="00AC45C7">
          <w:rPr>
            <w:rFonts w:cs="Times New Roman"/>
            <w:i/>
            <w:color w:val="1F497D" w:themeColor="text2"/>
            <w:lang w:val="es-ES"/>
          </w:rPr>
          <w:t xml:space="preserve">Página | </w:t>
        </w:r>
        <w:r w:rsidRPr="00AC45C7">
          <w:rPr>
            <w:rFonts w:cs="Times New Roman"/>
            <w:i/>
            <w:color w:val="1F497D" w:themeColor="text2"/>
          </w:rPr>
          <w:fldChar w:fldCharType="begin"/>
        </w:r>
        <w:r w:rsidRPr="00AC45C7">
          <w:rPr>
            <w:rFonts w:cs="Times New Roman"/>
            <w:i/>
            <w:color w:val="1F497D" w:themeColor="text2"/>
          </w:rPr>
          <w:instrText>PAGE   \* MERGEFORMAT</w:instrText>
        </w:r>
        <w:r w:rsidRPr="00AC45C7">
          <w:rPr>
            <w:rFonts w:cs="Times New Roman"/>
            <w:i/>
            <w:color w:val="1F497D" w:themeColor="text2"/>
          </w:rPr>
          <w:fldChar w:fldCharType="separate"/>
        </w:r>
        <w:r w:rsidR="004A5583" w:rsidRPr="004A5583">
          <w:rPr>
            <w:rFonts w:cs="Times New Roman"/>
            <w:i/>
            <w:noProof/>
            <w:color w:val="1F497D" w:themeColor="text2"/>
            <w:lang w:val="es-ES"/>
          </w:rPr>
          <w:t>11</w:t>
        </w:r>
        <w:r w:rsidRPr="00AC45C7">
          <w:rPr>
            <w:rFonts w:cs="Times New Roman"/>
            <w:i/>
            <w:color w:val="1F497D" w:themeColor="text2"/>
          </w:rPr>
          <w:fldChar w:fldCharType="end"/>
        </w:r>
        <w:r w:rsidRPr="00AC45C7">
          <w:rPr>
            <w:rFonts w:cs="Times New Roman"/>
            <w:i/>
            <w:color w:val="1F497D" w:themeColor="text2"/>
            <w:lang w:val="es-ES"/>
          </w:rPr>
          <w:t xml:space="preserve"> </w:t>
        </w:r>
      </w:p>
    </w:sdtContent>
  </w:sdt>
  <w:p w14:paraId="34E4454A" w14:textId="0A1AC4D8" w:rsidR="000A5B5B" w:rsidRPr="00D5619D" w:rsidRDefault="0022750D" w:rsidP="003813F7">
    <w:pPr>
      <w:pStyle w:val="Piedepgina"/>
      <w:tabs>
        <w:tab w:val="clear" w:pos="8838"/>
        <w:tab w:val="left" w:pos="5173"/>
      </w:tabs>
      <w:rPr>
        <w:rFonts w:cs="Times New Roman"/>
        <w:i/>
        <w:color w:val="1F497D" w:themeColor="text2"/>
      </w:rPr>
    </w:pPr>
    <w:r>
      <w:rPr>
        <w:noProof/>
      </w:rPr>
      <w:drawing>
        <wp:anchor distT="0" distB="0" distL="114300" distR="114300" simplePos="0" relativeHeight="251660290" behindDoc="1" locked="0" layoutInCell="1" allowOverlap="1" wp14:anchorId="7D7C2533" wp14:editId="61BA7BB3">
          <wp:simplePos x="0" y="0"/>
          <wp:positionH relativeFrom="column">
            <wp:posOffset>-204717</wp:posOffset>
          </wp:positionH>
          <wp:positionV relativeFrom="paragraph">
            <wp:posOffset>678313</wp:posOffset>
          </wp:positionV>
          <wp:extent cx="2064385" cy="108394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2064385" cy="1083945"/>
                  </a:xfrm>
                  <a:prstGeom prst="rect">
                    <a:avLst/>
                  </a:prstGeom>
                </pic:spPr>
              </pic:pic>
            </a:graphicData>
          </a:graphic>
          <wp14:sizeRelH relativeFrom="page">
            <wp14:pctWidth>0</wp14:pctWidth>
          </wp14:sizeRelH>
          <wp14:sizeRelV relativeFrom="page">
            <wp14:pctHeight>0</wp14:pctHeight>
          </wp14:sizeRelV>
        </wp:anchor>
      </w:drawing>
    </w:r>
    <w:r w:rsidR="000A5B5B" w:rsidRPr="00D5619D">
      <w:rPr>
        <w:rFonts w:cs="Times New Roman"/>
        <w:i/>
        <w:color w:val="1F497D" w:themeColor="text2"/>
      </w:rPr>
      <w:t>Informe d</w:t>
    </w:r>
    <w:r w:rsidR="000A5B5B">
      <w:rPr>
        <w:rFonts w:cs="Times New Roman"/>
        <w:i/>
        <w:color w:val="1F497D" w:themeColor="text2"/>
      </w:rPr>
      <w:t xml:space="preserve">e las Finanzas Públicas </w:t>
    </w:r>
    <w:r w:rsidR="004869FF">
      <w:rPr>
        <w:rFonts w:cs="Times New Roman"/>
        <w:i/>
        <w:color w:val="1F497D" w:themeColor="text2"/>
      </w:rPr>
      <w:t>–</w:t>
    </w:r>
    <w:r w:rsidR="000A5B5B">
      <w:rPr>
        <w:rFonts w:cs="Times New Roman"/>
        <w:i/>
        <w:color w:val="1F497D" w:themeColor="text2"/>
      </w:rPr>
      <w:t xml:space="preserve"> </w:t>
    </w:r>
    <w:r w:rsidR="004529F1">
      <w:rPr>
        <w:rFonts w:cs="Times New Roman"/>
        <w:i/>
        <w:color w:val="1F497D" w:themeColor="text2"/>
      </w:rPr>
      <w:t>Segundo</w:t>
    </w:r>
    <w:r w:rsidR="005557C8">
      <w:rPr>
        <w:rFonts w:cs="Times New Roman"/>
        <w:i/>
        <w:color w:val="1F497D" w:themeColor="text2"/>
      </w:rPr>
      <w:t xml:space="preserve"> Trimestre</w:t>
    </w:r>
    <w:r w:rsidR="004869FF">
      <w:rPr>
        <w:rFonts w:cs="Times New Roman"/>
        <w:i/>
        <w:color w:val="1F497D" w:themeColor="text2"/>
      </w:rPr>
      <w:t xml:space="preserve"> 202</w:t>
    </w:r>
    <w:r w:rsidR="005557C8">
      <w:rPr>
        <w:rFonts w:cs="Times New Roman"/>
        <w:i/>
        <w:color w:val="1F497D" w:themeColor="text2"/>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FAAF1" w14:textId="77777777" w:rsidR="000A5B5B" w:rsidRDefault="000A5B5B">
    <w:pPr>
      <w:pStyle w:val="Piedepgina"/>
    </w:pPr>
    <w:r>
      <w:rPr>
        <w:rFonts w:cs="Times New Roman"/>
        <w:i/>
        <w:noProof/>
        <w:color w:val="1F497D" w:themeColor="text2"/>
        <w:lang w:eastAsia="es-GT"/>
      </w:rPr>
      <mc:AlternateContent>
        <mc:Choice Requires="wps">
          <w:drawing>
            <wp:anchor distT="0" distB="0" distL="114300" distR="114300" simplePos="0" relativeHeight="251658242" behindDoc="0" locked="0" layoutInCell="1" allowOverlap="1" wp14:anchorId="2C67F3FC" wp14:editId="2B07D3AE">
              <wp:simplePos x="0" y="0"/>
              <wp:positionH relativeFrom="column">
                <wp:posOffset>77580</wp:posOffset>
              </wp:positionH>
              <wp:positionV relativeFrom="paragraph">
                <wp:posOffset>-206568</wp:posOffset>
              </wp:positionV>
              <wp:extent cx="5931315" cy="47625"/>
              <wp:effectExtent l="0" t="0" r="12700" b="28575"/>
              <wp:wrapNone/>
              <wp:docPr id="45" name="45 Rectángulo"/>
              <wp:cNvGraphicFramePr/>
              <a:graphic xmlns:a="http://schemas.openxmlformats.org/drawingml/2006/main">
                <a:graphicData uri="http://schemas.microsoft.com/office/word/2010/wordprocessingShape">
                  <wps:wsp>
                    <wps:cNvSpPr/>
                    <wps:spPr>
                      <a:xfrm>
                        <a:off x="0" y="0"/>
                        <a:ext cx="5931315" cy="47625"/>
                      </a:xfrm>
                      <a:prstGeom prst="rect">
                        <a:avLst/>
                      </a:prstGeom>
                      <a:gradFill flip="none" rotWithShape="1">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0" scaled="0"/>
                        <a:tileRect/>
                      </a:gradFill>
                      <a:ln>
                        <a:gradFill>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5400000" scaled="0"/>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629D7F" id="45 Rectángulo" o:spid="_x0000_s1026" style="position:absolute;margin-left:6.1pt;margin-top:-16.25pt;width:467.05pt;height:3.7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" fillcolor="#8aabd3 [2132]" strokeweight="2pt">
              <v:fill color2="#f2f2f2 [3052]" rotate="t" angle="90" colors="0 #9ab5e4;50463f #c2d1ed;58327f #e1e8f5;64881f #f2f2f2" focus="100%" type="gradient">
                <o:fill v:ext="view" type="gradientUnscaled"/>
              </v:fil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F477B" w14:textId="77777777" w:rsidR="00436492" w:rsidRDefault="00436492" w:rsidP="000B5E1C">
      <w:r>
        <w:separator/>
      </w:r>
    </w:p>
  </w:footnote>
  <w:footnote w:type="continuationSeparator" w:id="0">
    <w:p w14:paraId="6CEE2EE7" w14:textId="77777777" w:rsidR="00436492" w:rsidRDefault="00436492" w:rsidP="000B5E1C">
      <w:r>
        <w:continuationSeparator/>
      </w:r>
    </w:p>
  </w:footnote>
  <w:footnote w:type="continuationNotice" w:id="1">
    <w:p w14:paraId="3CBEA71C" w14:textId="77777777" w:rsidR="00436492" w:rsidRDefault="004364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4714C" w14:textId="1A52902C" w:rsidR="000A5B5B" w:rsidRPr="00AC45C7" w:rsidRDefault="0022750D" w:rsidP="00AC45C7">
    <w:pPr>
      <w:pStyle w:val="Encabezado"/>
      <w:jc w:val="right"/>
      <w:rPr>
        <w:rFonts w:cs="Times New Roman"/>
        <w:i/>
        <w:color w:val="1F497D" w:themeColor="text2"/>
      </w:rPr>
    </w:pPr>
    <w:r>
      <w:rPr>
        <w:noProof/>
      </w:rPr>
      <w:drawing>
        <wp:anchor distT="0" distB="0" distL="114300" distR="114300" simplePos="0" relativeHeight="251662338" behindDoc="1" locked="0" layoutInCell="1" allowOverlap="1" wp14:anchorId="6C71B156" wp14:editId="74C176C9">
          <wp:simplePos x="0" y="0"/>
          <wp:positionH relativeFrom="column">
            <wp:posOffset>-154144</wp:posOffset>
          </wp:positionH>
          <wp:positionV relativeFrom="paragraph">
            <wp:posOffset>-292735</wp:posOffset>
          </wp:positionV>
          <wp:extent cx="1403584" cy="736979"/>
          <wp:effectExtent l="0" t="0" r="0" b="0"/>
          <wp:wrapNone/>
          <wp:docPr id="861922572" name="Imagen 86192257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22572" name="Imagen 861922572"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403584" cy="736979"/>
                  </a:xfrm>
                  <a:prstGeom prst="rect">
                    <a:avLst/>
                  </a:prstGeom>
                </pic:spPr>
              </pic:pic>
            </a:graphicData>
          </a:graphic>
          <wp14:sizeRelH relativeFrom="page">
            <wp14:pctWidth>0</wp14:pctWidth>
          </wp14:sizeRelH>
          <wp14:sizeRelV relativeFrom="page">
            <wp14:pctHeight>0</wp14:pctHeight>
          </wp14:sizeRelV>
        </wp:anchor>
      </w:drawing>
    </w:r>
    <w:r w:rsidR="000A5B5B">
      <w:rPr>
        <w:rFonts w:cs="Times New Roman"/>
        <w:i/>
        <w:noProof/>
        <w:color w:val="1F497D" w:themeColor="text2"/>
        <w:lang w:eastAsia="es-GT"/>
      </w:rPr>
      <mc:AlternateContent>
        <mc:Choice Requires="wps">
          <w:drawing>
            <wp:anchor distT="0" distB="0" distL="114300" distR="114300" simplePos="0" relativeHeight="251658241" behindDoc="0" locked="0" layoutInCell="1" allowOverlap="1" wp14:anchorId="26DEA52F" wp14:editId="3E9B19FB">
              <wp:simplePos x="0" y="0"/>
              <wp:positionH relativeFrom="column">
                <wp:posOffset>1147787</wp:posOffset>
              </wp:positionH>
              <wp:positionV relativeFrom="paragraph">
                <wp:posOffset>315840</wp:posOffset>
              </wp:positionV>
              <wp:extent cx="4955442" cy="45719"/>
              <wp:effectExtent l="0" t="0" r="17145" b="12065"/>
              <wp:wrapNone/>
              <wp:docPr id="44" name="44 Rectángulo"/>
              <wp:cNvGraphicFramePr/>
              <a:graphic xmlns:a="http://schemas.openxmlformats.org/drawingml/2006/main">
                <a:graphicData uri="http://schemas.microsoft.com/office/word/2010/wordprocessingShape">
                  <wps:wsp>
                    <wps:cNvSpPr/>
                    <wps:spPr>
                      <a:xfrm>
                        <a:off x="0" y="0"/>
                        <a:ext cx="4955442" cy="45719"/>
                      </a:xfrm>
                      <a:prstGeom prst="rect">
                        <a:avLst/>
                      </a:prstGeom>
                      <a:gradFill flip="none" rotWithShape="1">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0" scaled="0"/>
                        <a:tileRect/>
                      </a:gradFill>
                      <a:ln>
                        <a:gradFill>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5400000" scaled="0"/>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16202B" id="44 Rectángulo" o:spid="_x0000_s1026" style="position:absolute;margin-left:90.4pt;margin-top:24.85pt;width:390.2pt;height:3.6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" fillcolor="#8aabd3 [2132]" strokeweight="2pt">
              <v:fill color2="#f2f2f2 [3052]" rotate="t" angle="90" colors="0 #9ab5e4;50463f #c2d1ed;58327f #e1e8f5;64881f #f2f2f2" focus="100%" type="gradient">
                <o:fill v:ext="view" type="gradientUnscaled"/>
              </v:fill>
            </v:rect>
          </w:pict>
        </mc:Fallback>
      </mc:AlternateContent>
    </w:r>
    <w:r w:rsidR="000A5B5B" w:rsidRPr="00AC45C7">
      <w:rPr>
        <w:rFonts w:cs="Times New Roman"/>
        <w:i/>
        <w:color w:val="1F497D" w:themeColor="text2"/>
      </w:rPr>
      <w:t>Dirección de Análisis y Política Fiscal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B674F" w14:textId="77777777" w:rsidR="000A5B5B" w:rsidRPr="005329C2" w:rsidRDefault="000A5B5B" w:rsidP="00CB498E">
    <w:pPr>
      <w:pStyle w:val="Encabezado"/>
      <w:jc w:val="center"/>
      <w:rPr>
        <w:rFonts w:cs="Times New Roman"/>
        <w:i/>
        <w:color w:val="1F497D" w:themeColor="text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B160D"/>
    <w:multiLevelType w:val="hybridMultilevel"/>
    <w:tmpl w:val="5652F5FA"/>
    <w:lvl w:ilvl="0" w:tplc="47281706">
      <w:start w:val="1"/>
      <w:numFmt w:val="bullet"/>
      <w:lvlText w:val="•"/>
      <w:lvlJc w:val="left"/>
      <w:pPr>
        <w:tabs>
          <w:tab w:val="num" w:pos="720"/>
        </w:tabs>
        <w:ind w:left="720" w:hanging="360"/>
      </w:pPr>
      <w:rPr>
        <w:rFonts w:ascii="Arial" w:hAnsi="Arial" w:hint="default"/>
      </w:rPr>
    </w:lvl>
    <w:lvl w:ilvl="1" w:tplc="100A0017">
      <w:start w:val="1"/>
      <w:numFmt w:val="lowerLetter"/>
      <w:lvlText w:val="%2)"/>
      <w:lvlJc w:val="left"/>
      <w:pPr>
        <w:tabs>
          <w:tab w:val="num" w:pos="1440"/>
        </w:tabs>
        <w:ind w:left="1440" w:hanging="360"/>
      </w:pPr>
      <w:rPr>
        <w:rFonts w:hint="default"/>
      </w:rPr>
    </w:lvl>
    <w:lvl w:ilvl="2" w:tplc="1C30B89C" w:tentative="1">
      <w:start w:val="1"/>
      <w:numFmt w:val="bullet"/>
      <w:lvlText w:val="•"/>
      <w:lvlJc w:val="left"/>
      <w:pPr>
        <w:tabs>
          <w:tab w:val="num" w:pos="2160"/>
        </w:tabs>
        <w:ind w:left="2160" w:hanging="360"/>
      </w:pPr>
      <w:rPr>
        <w:rFonts w:ascii="Arial" w:hAnsi="Arial" w:hint="default"/>
      </w:rPr>
    </w:lvl>
    <w:lvl w:ilvl="3" w:tplc="BC8E2AC2" w:tentative="1">
      <w:start w:val="1"/>
      <w:numFmt w:val="bullet"/>
      <w:lvlText w:val="•"/>
      <w:lvlJc w:val="left"/>
      <w:pPr>
        <w:tabs>
          <w:tab w:val="num" w:pos="2880"/>
        </w:tabs>
        <w:ind w:left="2880" w:hanging="360"/>
      </w:pPr>
      <w:rPr>
        <w:rFonts w:ascii="Arial" w:hAnsi="Arial" w:hint="default"/>
      </w:rPr>
    </w:lvl>
    <w:lvl w:ilvl="4" w:tplc="A130603C" w:tentative="1">
      <w:start w:val="1"/>
      <w:numFmt w:val="bullet"/>
      <w:lvlText w:val="•"/>
      <w:lvlJc w:val="left"/>
      <w:pPr>
        <w:tabs>
          <w:tab w:val="num" w:pos="3600"/>
        </w:tabs>
        <w:ind w:left="3600" w:hanging="360"/>
      </w:pPr>
      <w:rPr>
        <w:rFonts w:ascii="Arial" w:hAnsi="Arial" w:hint="default"/>
      </w:rPr>
    </w:lvl>
    <w:lvl w:ilvl="5" w:tplc="347CF7B6" w:tentative="1">
      <w:start w:val="1"/>
      <w:numFmt w:val="bullet"/>
      <w:lvlText w:val="•"/>
      <w:lvlJc w:val="left"/>
      <w:pPr>
        <w:tabs>
          <w:tab w:val="num" w:pos="4320"/>
        </w:tabs>
        <w:ind w:left="4320" w:hanging="360"/>
      </w:pPr>
      <w:rPr>
        <w:rFonts w:ascii="Arial" w:hAnsi="Arial" w:hint="default"/>
      </w:rPr>
    </w:lvl>
    <w:lvl w:ilvl="6" w:tplc="9580CE46" w:tentative="1">
      <w:start w:val="1"/>
      <w:numFmt w:val="bullet"/>
      <w:lvlText w:val="•"/>
      <w:lvlJc w:val="left"/>
      <w:pPr>
        <w:tabs>
          <w:tab w:val="num" w:pos="5040"/>
        </w:tabs>
        <w:ind w:left="5040" w:hanging="360"/>
      </w:pPr>
      <w:rPr>
        <w:rFonts w:ascii="Arial" w:hAnsi="Arial" w:hint="default"/>
      </w:rPr>
    </w:lvl>
    <w:lvl w:ilvl="7" w:tplc="1304CE74" w:tentative="1">
      <w:start w:val="1"/>
      <w:numFmt w:val="bullet"/>
      <w:lvlText w:val="•"/>
      <w:lvlJc w:val="left"/>
      <w:pPr>
        <w:tabs>
          <w:tab w:val="num" w:pos="5760"/>
        </w:tabs>
        <w:ind w:left="5760" w:hanging="360"/>
      </w:pPr>
      <w:rPr>
        <w:rFonts w:ascii="Arial" w:hAnsi="Arial" w:hint="default"/>
      </w:rPr>
    </w:lvl>
    <w:lvl w:ilvl="8" w:tplc="EBA2601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1A32CD"/>
    <w:multiLevelType w:val="hybridMultilevel"/>
    <w:tmpl w:val="6818CF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130B3E59"/>
    <w:multiLevelType w:val="hybridMultilevel"/>
    <w:tmpl w:val="F832278A"/>
    <w:lvl w:ilvl="0" w:tplc="4142F532">
      <w:start w:val="1"/>
      <w:numFmt w:val="lowerLetter"/>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45536B5"/>
    <w:multiLevelType w:val="hybridMultilevel"/>
    <w:tmpl w:val="02E2FB34"/>
    <w:lvl w:ilvl="0" w:tplc="2E828656">
      <w:start w:val="1"/>
      <w:numFmt w:val="decimal"/>
      <w:lvlText w:val="%1.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16811248"/>
    <w:multiLevelType w:val="hybridMultilevel"/>
    <w:tmpl w:val="2E12EF8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DFA2B56"/>
    <w:multiLevelType w:val="hybridMultilevel"/>
    <w:tmpl w:val="60DAF598"/>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1F151372"/>
    <w:multiLevelType w:val="multilevel"/>
    <w:tmpl w:val="8960C1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0E5232B"/>
    <w:multiLevelType w:val="hybridMultilevel"/>
    <w:tmpl w:val="E06C4B02"/>
    <w:lvl w:ilvl="0" w:tplc="47281706">
      <w:start w:val="1"/>
      <w:numFmt w:val="bullet"/>
      <w:lvlText w:val="•"/>
      <w:lvlJc w:val="left"/>
      <w:pPr>
        <w:tabs>
          <w:tab w:val="num" w:pos="720"/>
        </w:tabs>
        <w:ind w:left="720" w:hanging="360"/>
      </w:pPr>
      <w:rPr>
        <w:rFonts w:ascii="Arial" w:hAnsi="Arial" w:hint="default"/>
      </w:rPr>
    </w:lvl>
    <w:lvl w:ilvl="1" w:tplc="100A0017">
      <w:start w:val="1"/>
      <w:numFmt w:val="lowerLetter"/>
      <w:lvlText w:val="%2)"/>
      <w:lvlJc w:val="left"/>
      <w:pPr>
        <w:tabs>
          <w:tab w:val="num" w:pos="1440"/>
        </w:tabs>
        <w:ind w:left="1440" w:hanging="360"/>
      </w:pPr>
      <w:rPr>
        <w:rFonts w:hint="default"/>
      </w:rPr>
    </w:lvl>
    <w:lvl w:ilvl="2" w:tplc="1C30B89C" w:tentative="1">
      <w:start w:val="1"/>
      <w:numFmt w:val="bullet"/>
      <w:lvlText w:val="•"/>
      <w:lvlJc w:val="left"/>
      <w:pPr>
        <w:tabs>
          <w:tab w:val="num" w:pos="2160"/>
        </w:tabs>
        <w:ind w:left="2160" w:hanging="360"/>
      </w:pPr>
      <w:rPr>
        <w:rFonts w:ascii="Arial" w:hAnsi="Arial" w:hint="default"/>
      </w:rPr>
    </w:lvl>
    <w:lvl w:ilvl="3" w:tplc="BC8E2AC2" w:tentative="1">
      <w:start w:val="1"/>
      <w:numFmt w:val="bullet"/>
      <w:lvlText w:val="•"/>
      <w:lvlJc w:val="left"/>
      <w:pPr>
        <w:tabs>
          <w:tab w:val="num" w:pos="2880"/>
        </w:tabs>
        <w:ind w:left="2880" w:hanging="360"/>
      </w:pPr>
      <w:rPr>
        <w:rFonts w:ascii="Arial" w:hAnsi="Arial" w:hint="default"/>
      </w:rPr>
    </w:lvl>
    <w:lvl w:ilvl="4" w:tplc="A130603C" w:tentative="1">
      <w:start w:val="1"/>
      <w:numFmt w:val="bullet"/>
      <w:lvlText w:val="•"/>
      <w:lvlJc w:val="left"/>
      <w:pPr>
        <w:tabs>
          <w:tab w:val="num" w:pos="3600"/>
        </w:tabs>
        <w:ind w:left="3600" w:hanging="360"/>
      </w:pPr>
      <w:rPr>
        <w:rFonts w:ascii="Arial" w:hAnsi="Arial" w:hint="default"/>
      </w:rPr>
    </w:lvl>
    <w:lvl w:ilvl="5" w:tplc="347CF7B6" w:tentative="1">
      <w:start w:val="1"/>
      <w:numFmt w:val="bullet"/>
      <w:lvlText w:val="•"/>
      <w:lvlJc w:val="left"/>
      <w:pPr>
        <w:tabs>
          <w:tab w:val="num" w:pos="4320"/>
        </w:tabs>
        <w:ind w:left="4320" w:hanging="360"/>
      </w:pPr>
      <w:rPr>
        <w:rFonts w:ascii="Arial" w:hAnsi="Arial" w:hint="default"/>
      </w:rPr>
    </w:lvl>
    <w:lvl w:ilvl="6" w:tplc="9580CE46" w:tentative="1">
      <w:start w:val="1"/>
      <w:numFmt w:val="bullet"/>
      <w:lvlText w:val="•"/>
      <w:lvlJc w:val="left"/>
      <w:pPr>
        <w:tabs>
          <w:tab w:val="num" w:pos="5040"/>
        </w:tabs>
        <w:ind w:left="5040" w:hanging="360"/>
      </w:pPr>
      <w:rPr>
        <w:rFonts w:ascii="Arial" w:hAnsi="Arial" w:hint="default"/>
      </w:rPr>
    </w:lvl>
    <w:lvl w:ilvl="7" w:tplc="1304CE74" w:tentative="1">
      <w:start w:val="1"/>
      <w:numFmt w:val="bullet"/>
      <w:lvlText w:val="•"/>
      <w:lvlJc w:val="left"/>
      <w:pPr>
        <w:tabs>
          <w:tab w:val="num" w:pos="5760"/>
        </w:tabs>
        <w:ind w:left="5760" w:hanging="360"/>
      </w:pPr>
      <w:rPr>
        <w:rFonts w:ascii="Arial" w:hAnsi="Arial" w:hint="default"/>
      </w:rPr>
    </w:lvl>
    <w:lvl w:ilvl="8" w:tplc="EBA2601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303721B"/>
    <w:multiLevelType w:val="multilevel"/>
    <w:tmpl w:val="432204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605102"/>
    <w:multiLevelType w:val="hybridMultilevel"/>
    <w:tmpl w:val="FEA4A058"/>
    <w:lvl w:ilvl="0" w:tplc="100A0001">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10" w15:restartNumberingAfterBreak="0">
    <w:nsid w:val="2B756652"/>
    <w:multiLevelType w:val="hybridMultilevel"/>
    <w:tmpl w:val="4C3CF3C6"/>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2CEE5E3C"/>
    <w:multiLevelType w:val="multilevel"/>
    <w:tmpl w:val="1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D3D32D9"/>
    <w:multiLevelType w:val="hybridMultilevel"/>
    <w:tmpl w:val="D6B8F3D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2D5A09C0"/>
    <w:multiLevelType w:val="hybridMultilevel"/>
    <w:tmpl w:val="92F073A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2F3A7D94"/>
    <w:multiLevelType w:val="hybridMultilevel"/>
    <w:tmpl w:val="D4A4493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31A24AD2"/>
    <w:multiLevelType w:val="multilevel"/>
    <w:tmpl w:val="0C0A0025"/>
    <w:lvl w:ilvl="0">
      <w:start w:val="1"/>
      <w:numFmt w:val="decimal"/>
      <w:pStyle w:val="Ttulo11"/>
      <w:lvlText w:val="%1"/>
      <w:lvlJc w:val="left"/>
      <w:pPr>
        <w:ind w:left="432" w:hanging="432"/>
      </w:pPr>
    </w:lvl>
    <w:lvl w:ilvl="1">
      <w:start w:val="1"/>
      <w:numFmt w:val="decimal"/>
      <w:pStyle w:val="Ttulo21"/>
      <w:lvlText w:val="%1.%2"/>
      <w:lvlJc w:val="left"/>
      <w:pPr>
        <w:ind w:left="576" w:hanging="576"/>
      </w:pPr>
    </w:lvl>
    <w:lvl w:ilvl="2">
      <w:start w:val="1"/>
      <w:numFmt w:val="decimal"/>
      <w:pStyle w:val="Ttulo31"/>
      <w:lvlText w:val="%1.%2.%3"/>
      <w:lvlJc w:val="left"/>
      <w:pPr>
        <w:ind w:left="720" w:hanging="720"/>
      </w:pPr>
    </w:lvl>
    <w:lvl w:ilvl="3">
      <w:start w:val="1"/>
      <w:numFmt w:val="decimal"/>
      <w:pStyle w:val="Ttulo41"/>
      <w:lvlText w:val="%1.%2.%3.%4"/>
      <w:lvlJc w:val="left"/>
      <w:pPr>
        <w:ind w:left="864" w:hanging="864"/>
      </w:pPr>
    </w:lvl>
    <w:lvl w:ilvl="4">
      <w:start w:val="1"/>
      <w:numFmt w:val="decimal"/>
      <w:pStyle w:val="Ttulo51"/>
      <w:lvlText w:val="%1.%2.%3.%4.%5"/>
      <w:lvlJc w:val="left"/>
      <w:pPr>
        <w:ind w:left="1008" w:hanging="1008"/>
      </w:pPr>
    </w:lvl>
    <w:lvl w:ilvl="5">
      <w:start w:val="1"/>
      <w:numFmt w:val="decimal"/>
      <w:pStyle w:val="Ttulo61"/>
      <w:lvlText w:val="%1.%2.%3.%4.%5.%6"/>
      <w:lvlJc w:val="left"/>
      <w:pPr>
        <w:ind w:left="1152" w:hanging="1152"/>
      </w:pPr>
    </w:lvl>
    <w:lvl w:ilvl="6">
      <w:start w:val="1"/>
      <w:numFmt w:val="decimal"/>
      <w:pStyle w:val="Ttulo71"/>
      <w:lvlText w:val="%1.%2.%3.%4.%5.%6.%7"/>
      <w:lvlJc w:val="left"/>
      <w:pPr>
        <w:ind w:left="1296" w:hanging="1296"/>
      </w:pPr>
    </w:lvl>
    <w:lvl w:ilvl="7">
      <w:start w:val="1"/>
      <w:numFmt w:val="decimal"/>
      <w:pStyle w:val="Ttulo81"/>
      <w:lvlText w:val="%1.%2.%3.%4.%5.%6.%7.%8"/>
      <w:lvlJc w:val="left"/>
      <w:pPr>
        <w:ind w:left="1440" w:hanging="1440"/>
      </w:pPr>
    </w:lvl>
    <w:lvl w:ilvl="8">
      <w:start w:val="1"/>
      <w:numFmt w:val="decimal"/>
      <w:pStyle w:val="Ttulo91"/>
      <w:lvlText w:val="%1.%2.%3.%4.%5.%6.%7.%8.%9"/>
      <w:lvlJc w:val="left"/>
      <w:pPr>
        <w:ind w:left="1584" w:hanging="1584"/>
      </w:pPr>
    </w:lvl>
  </w:abstractNum>
  <w:abstractNum w:abstractNumId="16" w15:restartNumberingAfterBreak="0">
    <w:nsid w:val="38E61988"/>
    <w:multiLevelType w:val="hybridMultilevel"/>
    <w:tmpl w:val="7D04A81C"/>
    <w:lvl w:ilvl="0" w:tplc="A1F83D42">
      <w:start w:val="1"/>
      <w:numFmt w:val="lowerLetter"/>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7" w15:restartNumberingAfterBreak="0">
    <w:nsid w:val="39344CF8"/>
    <w:multiLevelType w:val="hybridMultilevel"/>
    <w:tmpl w:val="39F4D9A0"/>
    <w:lvl w:ilvl="0" w:tplc="100A0017">
      <w:start w:val="1"/>
      <w:numFmt w:val="lowerLetter"/>
      <w:lvlText w:val="%1)"/>
      <w:lvlJc w:val="left"/>
      <w:pPr>
        <w:tabs>
          <w:tab w:val="num" w:pos="1428"/>
        </w:tabs>
        <w:ind w:left="1428" w:hanging="360"/>
      </w:pPr>
      <w:rPr>
        <w:rFonts w:hint="default"/>
      </w:rPr>
    </w:lvl>
    <w:lvl w:ilvl="1" w:tplc="88A822C4" w:tentative="1">
      <w:start w:val="1"/>
      <w:numFmt w:val="bullet"/>
      <w:lvlText w:val="•"/>
      <w:lvlJc w:val="left"/>
      <w:pPr>
        <w:tabs>
          <w:tab w:val="num" w:pos="2148"/>
        </w:tabs>
        <w:ind w:left="2148" w:hanging="360"/>
      </w:pPr>
      <w:rPr>
        <w:rFonts w:ascii="Arial" w:hAnsi="Arial" w:hint="default"/>
      </w:rPr>
    </w:lvl>
    <w:lvl w:ilvl="2" w:tplc="0A663566" w:tentative="1">
      <w:start w:val="1"/>
      <w:numFmt w:val="bullet"/>
      <w:lvlText w:val="•"/>
      <w:lvlJc w:val="left"/>
      <w:pPr>
        <w:tabs>
          <w:tab w:val="num" w:pos="2868"/>
        </w:tabs>
        <w:ind w:left="2868" w:hanging="360"/>
      </w:pPr>
      <w:rPr>
        <w:rFonts w:ascii="Arial" w:hAnsi="Arial" w:hint="default"/>
      </w:rPr>
    </w:lvl>
    <w:lvl w:ilvl="3" w:tplc="FC0AC50E" w:tentative="1">
      <w:start w:val="1"/>
      <w:numFmt w:val="bullet"/>
      <w:lvlText w:val="•"/>
      <w:lvlJc w:val="left"/>
      <w:pPr>
        <w:tabs>
          <w:tab w:val="num" w:pos="3588"/>
        </w:tabs>
        <w:ind w:left="3588" w:hanging="360"/>
      </w:pPr>
      <w:rPr>
        <w:rFonts w:ascii="Arial" w:hAnsi="Arial" w:hint="default"/>
      </w:rPr>
    </w:lvl>
    <w:lvl w:ilvl="4" w:tplc="2F2C20D6" w:tentative="1">
      <w:start w:val="1"/>
      <w:numFmt w:val="bullet"/>
      <w:lvlText w:val="•"/>
      <w:lvlJc w:val="left"/>
      <w:pPr>
        <w:tabs>
          <w:tab w:val="num" w:pos="4308"/>
        </w:tabs>
        <w:ind w:left="4308" w:hanging="360"/>
      </w:pPr>
      <w:rPr>
        <w:rFonts w:ascii="Arial" w:hAnsi="Arial" w:hint="default"/>
      </w:rPr>
    </w:lvl>
    <w:lvl w:ilvl="5" w:tplc="3D765614" w:tentative="1">
      <w:start w:val="1"/>
      <w:numFmt w:val="bullet"/>
      <w:lvlText w:val="•"/>
      <w:lvlJc w:val="left"/>
      <w:pPr>
        <w:tabs>
          <w:tab w:val="num" w:pos="5028"/>
        </w:tabs>
        <w:ind w:left="5028" w:hanging="360"/>
      </w:pPr>
      <w:rPr>
        <w:rFonts w:ascii="Arial" w:hAnsi="Arial" w:hint="default"/>
      </w:rPr>
    </w:lvl>
    <w:lvl w:ilvl="6" w:tplc="D7B4C0EE" w:tentative="1">
      <w:start w:val="1"/>
      <w:numFmt w:val="bullet"/>
      <w:lvlText w:val="•"/>
      <w:lvlJc w:val="left"/>
      <w:pPr>
        <w:tabs>
          <w:tab w:val="num" w:pos="5748"/>
        </w:tabs>
        <w:ind w:left="5748" w:hanging="360"/>
      </w:pPr>
      <w:rPr>
        <w:rFonts w:ascii="Arial" w:hAnsi="Arial" w:hint="default"/>
      </w:rPr>
    </w:lvl>
    <w:lvl w:ilvl="7" w:tplc="FFBC65E4" w:tentative="1">
      <w:start w:val="1"/>
      <w:numFmt w:val="bullet"/>
      <w:lvlText w:val="•"/>
      <w:lvlJc w:val="left"/>
      <w:pPr>
        <w:tabs>
          <w:tab w:val="num" w:pos="6468"/>
        </w:tabs>
        <w:ind w:left="6468" w:hanging="360"/>
      </w:pPr>
      <w:rPr>
        <w:rFonts w:ascii="Arial" w:hAnsi="Arial" w:hint="default"/>
      </w:rPr>
    </w:lvl>
    <w:lvl w:ilvl="8" w:tplc="7AD008E2" w:tentative="1">
      <w:start w:val="1"/>
      <w:numFmt w:val="bullet"/>
      <w:lvlText w:val="•"/>
      <w:lvlJc w:val="left"/>
      <w:pPr>
        <w:tabs>
          <w:tab w:val="num" w:pos="7188"/>
        </w:tabs>
        <w:ind w:left="7188" w:hanging="360"/>
      </w:pPr>
      <w:rPr>
        <w:rFonts w:ascii="Arial" w:hAnsi="Arial" w:hint="default"/>
      </w:rPr>
    </w:lvl>
  </w:abstractNum>
  <w:abstractNum w:abstractNumId="18" w15:restartNumberingAfterBreak="0">
    <w:nsid w:val="3F4E4675"/>
    <w:multiLevelType w:val="hybridMultilevel"/>
    <w:tmpl w:val="592A14C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41F878AD"/>
    <w:multiLevelType w:val="multilevel"/>
    <w:tmpl w:val="6BE6BB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23772FF"/>
    <w:multiLevelType w:val="multilevel"/>
    <w:tmpl w:val="B420C2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7455B36"/>
    <w:multiLevelType w:val="hybridMultilevel"/>
    <w:tmpl w:val="2F9A9654"/>
    <w:lvl w:ilvl="0" w:tplc="DB6E8538">
      <w:start w:val="1"/>
      <w:numFmt w:val="low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50587C29"/>
    <w:multiLevelType w:val="hybridMultilevel"/>
    <w:tmpl w:val="21D2FB3A"/>
    <w:lvl w:ilvl="0" w:tplc="100A0017">
      <w:start w:val="1"/>
      <w:numFmt w:val="lowerLetter"/>
      <w:lvlText w:val="%1)"/>
      <w:lvlJc w:val="left"/>
      <w:pPr>
        <w:ind w:left="1776" w:hanging="360"/>
      </w:pPr>
    </w:lvl>
    <w:lvl w:ilvl="1" w:tplc="100A0019" w:tentative="1">
      <w:start w:val="1"/>
      <w:numFmt w:val="lowerLetter"/>
      <w:lvlText w:val="%2."/>
      <w:lvlJc w:val="left"/>
      <w:pPr>
        <w:ind w:left="2496" w:hanging="360"/>
      </w:pPr>
    </w:lvl>
    <w:lvl w:ilvl="2" w:tplc="100A001B" w:tentative="1">
      <w:start w:val="1"/>
      <w:numFmt w:val="lowerRoman"/>
      <w:lvlText w:val="%3."/>
      <w:lvlJc w:val="right"/>
      <w:pPr>
        <w:ind w:left="3216" w:hanging="180"/>
      </w:pPr>
    </w:lvl>
    <w:lvl w:ilvl="3" w:tplc="100A000F" w:tentative="1">
      <w:start w:val="1"/>
      <w:numFmt w:val="decimal"/>
      <w:lvlText w:val="%4."/>
      <w:lvlJc w:val="left"/>
      <w:pPr>
        <w:ind w:left="3936" w:hanging="360"/>
      </w:pPr>
    </w:lvl>
    <w:lvl w:ilvl="4" w:tplc="100A0019" w:tentative="1">
      <w:start w:val="1"/>
      <w:numFmt w:val="lowerLetter"/>
      <w:lvlText w:val="%5."/>
      <w:lvlJc w:val="left"/>
      <w:pPr>
        <w:ind w:left="4656" w:hanging="360"/>
      </w:pPr>
    </w:lvl>
    <w:lvl w:ilvl="5" w:tplc="100A001B" w:tentative="1">
      <w:start w:val="1"/>
      <w:numFmt w:val="lowerRoman"/>
      <w:lvlText w:val="%6."/>
      <w:lvlJc w:val="right"/>
      <w:pPr>
        <w:ind w:left="5376" w:hanging="180"/>
      </w:pPr>
    </w:lvl>
    <w:lvl w:ilvl="6" w:tplc="100A000F" w:tentative="1">
      <w:start w:val="1"/>
      <w:numFmt w:val="decimal"/>
      <w:lvlText w:val="%7."/>
      <w:lvlJc w:val="left"/>
      <w:pPr>
        <w:ind w:left="6096" w:hanging="360"/>
      </w:pPr>
    </w:lvl>
    <w:lvl w:ilvl="7" w:tplc="100A0019" w:tentative="1">
      <w:start w:val="1"/>
      <w:numFmt w:val="lowerLetter"/>
      <w:lvlText w:val="%8."/>
      <w:lvlJc w:val="left"/>
      <w:pPr>
        <w:ind w:left="6816" w:hanging="360"/>
      </w:pPr>
    </w:lvl>
    <w:lvl w:ilvl="8" w:tplc="100A001B" w:tentative="1">
      <w:start w:val="1"/>
      <w:numFmt w:val="lowerRoman"/>
      <w:lvlText w:val="%9."/>
      <w:lvlJc w:val="right"/>
      <w:pPr>
        <w:ind w:left="7536" w:hanging="180"/>
      </w:pPr>
    </w:lvl>
  </w:abstractNum>
  <w:abstractNum w:abstractNumId="23" w15:restartNumberingAfterBreak="0">
    <w:nsid w:val="523C077D"/>
    <w:multiLevelType w:val="multilevel"/>
    <w:tmpl w:val="432204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5777B9E"/>
    <w:multiLevelType w:val="hybridMultilevel"/>
    <w:tmpl w:val="3F00470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582A1421"/>
    <w:multiLevelType w:val="multilevel"/>
    <w:tmpl w:val="B63CCFBE"/>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8741E90"/>
    <w:multiLevelType w:val="multilevel"/>
    <w:tmpl w:val="58DEA22A"/>
    <w:lvl w:ilvl="0">
      <w:start w:val="1"/>
      <w:numFmt w:val="upperRoman"/>
      <w:lvlText w:val="%1."/>
      <w:lvlJc w:val="left"/>
      <w:pPr>
        <w:ind w:left="720" w:hanging="720"/>
      </w:pPr>
      <w:rPr>
        <w:rFonts w:hint="default"/>
      </w:rPr>
    </w:lvl>
    <w:lvl w:ilvl="1">
      <w:start w:val="3"/>
      <w:numFmt w:val="decimal"/>
      <w:isLgl/>
      <w:lvlText w:val="%1.%2"/>
      <w:lvlJc w:val="left"/>
      <w:pPr>
        <w:ind w:left="660" w:hanging="66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8B02801"/>
    <w:multiLevelType w:val="hybridMultilevel"/>
    <w:tmpl w:val="CDF23244"/>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59DE5F78"/>
    <w:multiLevelType w:val="multilevel"/>
    <w:tmpl w:val="B63CCFBE"/>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C403D22"/>
    <w:multiLevelType w:val="multilevel"/>
    <w:tmpl w:val="1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CE5754F"/>
    <w:multiLevelType w:val="hybridMultilevel"/>
    <w:tmpl w:val="66D0A5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5D1A7293"/>
    <w:multiLevelType w:val="hybridMultilevel"/>
    <w:tmpl w:val="574693B0"/>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5E9B22BF"/>
    <w:multiLevelType w:val="hybridMultilevel"/>
    <w:tmpl w:val="7D0EE6BA"/>
    <w:lvl w:ilvl="0" w:tplc="FD3A4A76">
      <w:start w:val="1"/>
      <w:numFmt w:val="lowerLetter"/>
      <w:lvlText w:val="%1."/>
      <w:lvlJc w:val="left"/>
      <w:pPr>
        <w:ind w:left="720" w:hanging="360"/>
      </w:pPr>
      <w:rPr>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5E9E267F"/>
    <w:multiLevelType w:val="hybridMultilevel"/>
    <w:tmpl w:val="B18CB37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4" w15:restartNumberingAfterBreak="0">
    <w:nsid w:val="627D15BE"/>
    <w:multiLevelType w:val="multilevel"/>
    <w:tmpl w:val="E6A250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sz w:val="22"/>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29C3A2A"/>
    <w:multiLevelType w:val="hybridMultilevel"/>
    <w:tmpl w:val="36860404"/>
    <w:lvl w:ilvl="0" w:tplc="46F0C8B4">
      <w:start w:val="1"/>
      <w:numFmt w:val="bullet"/>
      <w:lvlText w:val="•"/>
      <w:lvlJc w:val="left"/>
      <w:pPr>
        <w:tabs>
          <w:tab w:val="num" w:pos="720"/>
        </w:tabs>
        <w:ind w:left="720" w:hanging="360"/>
      </w:pPr>
      <w:rPr>
        <w:rFonts w:ascii="Arial" w:hAnsi="Arial" w:hint="default"/>
      </w:rPr>
    </w:lvl>
    <w:lvl w:ilvl="1" w:tplc="3640B6EE">
      <w:start w:val="82"/>
      <w:numFmt w:val="bullet"/>
      <w:lvlText w:val=""/>
      <w:lvlJc w:val="left"/>
      <w:pPr>
        <w:tabs>
          <w:tab w:val="num" w:pos="1440"/>
        </w:tabs>
        <w:ind w:left="1440" w:hanging="360"/>
      </w:pPr>
      <w:rPr>
        <w:rFonts w:ascii="Wingdings" w:hAnsi="Wingdings" w:hint="default"/>
      </w:rPr>
    </w:lvl>
    <w:lvl w:ilvl="2" w:tplc="803E46F8">
      <w:start w:val="82"/>
      <w:numFmt w:val="bullet"/>
      <w:lvlText w:val=""/>
      <w:lvlJc w:val="left"/>
      <w:pPr>
        <w:tabs>
          <w:tab w:val="num" w:pos="2160"/>
        </w:tabs>
        <w:ind w:left="2160" w:hanging="360"/>
      </w:pPr>
      <w:rPr>
        <w:rFonts w:ascii="Wingdings" w:hAnsi="Wingdings" w:hint="default"/>
      </w:rPr>
    </w:lvl>
    <w:lvl w:ilvl="3" w:tplc="E9BEBE16" w:tentative="1">
      <w:start w:val="1"/>
      <w:numFmt w:val="bullet"/>
      <w:lvlText w:val="•"/>
      <w:lvlJc w:val="left"/>
      <w:pPr>
        <w:tabs>
          <w:tab w:val="num" w:pos="2880"/>
        </w:tabs>
        <w:ind w:left="2880" w:hanging="360"/>
      </w:pPr>
      <w:rPr>
        <w:rFonts w:ascii="Arial" w:hAnsi="Arial" w:hint="default"/>
      </w:rPr>
    </w:lvl>
    <w:lvl w:ilvl="4" w:tplc="E7928B86" w:tentative="1">
      <w:start w:val="1"/>
      <w:numFmt w:val="bullet"/>
      <w:lvlText w:val="•"/>
      <w:lvlJc w:val="left"/>
      <w:pPr>
        <w:tabs>
          <w:tab w:val="num" w:pos="3600"/>
        </w:tabs>
        <w:ind w:left="3600" w:hanging="360"/>
      </w:pPr>
      <w:rPr>
        <w:rFonts w:ascii="Arial" w:hAnsi="Arial" w:hint="default"/>
      </w:rPr>
    </w:lvl>
    <w:lvl w:ilvl="5" w:tplc="FA6205C2" w:tentative="1">
      <w:start w:val="1"/>
      <w:numFmt w:val="bullet"/>
      <w:lvlText w:val="•"/>
      <w:lvlJc w:val="left"/>
      <w:pPr>
        <w:tabs>
          <w:tab w:val="num" w:pos="4320"/>
        </w:tabs>
        <w:ind w:left="4320" w:hanging="360"/>
      </w:pPr>
      <w:rPr>
        <w:rFonts w:ascii="Arial" w:hAnsi="Arial" w:hint="default"/>
      </w:rPr>
    </w:lvl>
    <w:lvl w:ilvl="6" w:tplc="3B56D9A4" w:tentative="1">
      <w:start w:val="1"/>
      <w:numFmt w:val="bullet"/>
      <w:lvlText w:val="•"/>
      <w:lvlJc w:val="left"/>
      <w:pPr>
        <w:tabs>
          <w:tab w:val="num" w:pos="5040"/>
        </w:tabs>
        <w:ind w:left="5040" w:hanging="360"/>
      </w:pPr>
      <w:rPr>
        <w:rFonts w:ascii="Arial" w:hAnsi="Arial" w:hint="default"/>
      </w:rPr>
    </w:lvl>
    <w:lvl w:ilvl="7" w:tplc="FF32ECCC" w:tentative="1">
      <w:start w:val="1"/>
      <w:numFmt w:val="bullet"/>
      <w:lvlText w:val="•"/>
      <w:lvlJc w:val="left"/>
      <w:pPr>
        <w:tabs>
          <w:tab w:val="num" w:pos="5760"/>
        </w:tabs>
        <w:ind w:left="5760" w:hanging="360"/>
      </w:pPr>
      <w:rPr>
        <w:rFonts w:ascii="Arial" w:hAnsi="Arial" w:hint="default"/>
      </w:rPr>
    </w:lvl>
    <w:lvl w:ilvl="8" w:tplc="DE920C2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C3E5119"/>
    <w:multiLevelType w:val="hybridMultilevel"/>
    <w:tmpl w:val="D05E2C2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7" w15:restartNumberingAfterBreak="0">
    <w:nsid w:val="70CB5DA4"/>
    <w:multiLevelType w:val="hybridMultilevel"/>
    <w:tmpl w:val="E174D1C4"/>
    <w:lvl w:ilvl="0" w:tplc="80D2798C">
      <w:start w:val="1"/>
      <w:numFmt w:val="decimal"/>
      <w:lvlText w:val="%1."/>
      <w:lvlJc w:val="left"/>
      <w:pPr>
        <w:ind w:left="720" w:hanging="360"/>
      </w:pPr>
      <w:rPr>
        <w:b/>
      </w:rPr>
    </w:lvl>
    <w:lvl w:ilvl="1" w:tplc="100A0017">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15:restartNumberingAfterBreak="0">
    <w:nsid w:val="7336333D"/>
    <w:multiLevelType w:val="hybridMultilevel"/>
    <w:tmpl w:val="C3B0B7D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9" w15:restartNumberingAfterBreak="0">
    <w:nsid w:val="738E5052"/>
    <w:multiLevelType w:val="hybridMultilevel"/>
    <w:tmpl w:val="1B40ACF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0" w15:restartNumberingAfterBreak="0">
    <w:nsid w:val="73985C45"/>
    <w:multiLevelType w:val="hybridMultilevel"/>
    <w:tmpl w:val="0C14AC04"/>
    <w:lvl w:ilvl="0" w:tplc="100A0017">
      <w:start w:val="1"/>
      <w:numFmt w:val="lowerLetter"/>
      <w:lvlText w:val="%1)"/>
      <w:lvlJc w:val="left"/>
      <w:pPr>
        <w:ind w:left="1068" w:hanging="360"/>
      </w:p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41" w15:restartNumberingAfterBreak="0">
    <w:nsid w:val="75050691"/>
    <w:multiLevelType w:val="hybridMultilevel"/>
    <w:tmpl w:val="ED325860"/>
    <w:lvl w:ilvl="0" w:tplc="BDAE2E86">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2" w15:restartNumberingAfterBreak="0">
    <w:nsid w:val="7BD86473"/>
    <w:multiLevelType w:val="hybridMultilevel"/>
    <w:tmpl w:val="AFA85F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3" w15:restartNumberingAfterBreak="0">
    <w:nsid w:val="7E490913"/>
    <w:multiLevelType w:val="hybridMultilevel"/>
    <w:tmpl w:val="8D88FC8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4" w15:restartNumberingAfterBreak="0">
    <w:nsid w:val="7FC208F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55083249">
    <w:abstractNumId w:val="26"/>
  </w:num>
  <w:num w:numId="2" w16cid:durableId="290019235">
    <w:abstractNumId w:val="24"/>
  </w:num>
  <w:num w:numId="3" w16cid:durableId="262346959">
    <w:abstractNumId w:val="13"/>
  </w:num>
  <w:num w:numId="4" w16cid:durableId="1363555873">
    <w:abstractNumId w:val="12"/>
  </w:num>
  <w:num w:numId="5" w16cid:durableId="879362052">
    <w:abstractNumId w:val="30"/>
  </w:num>
  <w:num w:numId="6" w16cid:durableId="1816557584">
    <w:abstractNumId w:val="42"/>
  </w:num>
  <w:num w:numId="7" w16cid:durableId="1357733981">
    <w:abstractNumId w:val="31"/>
  </w:num>
  <w:num w:numId="8" w16cid:durableId="1897348441">
    <w:abstractNumId w:val="4"/>
  </w:num>
  <w:num w:numId="9" w16cid:durableId="2128115694">
    <w:abstractNumId w:val="3"/>
  </w:num>
  <w:num w:numId="10" w16cid:durableId="1406299452">
    <w:abstractNumId w:val="19"/>
  </w:num>
  <w:num w:numId="11" w16cid:durableId="445080033">
    <w:abstractNumId w:val="20"/>
  </w:num>
  <w:num w:numId="12" w16cid:durableId="1883907128">
    <w:abstractNumId w:val="23"/>
  </w:num>
  <w:num w:numId="13" w16cid:durableId="565604545">
    <w:abstractNumId w:val="32"/>
  </w:num>
  <w:num w:numId="14" w16cid:durableId="561718252">
    <w:abstractNumId w:val="27"/>
  </w:num>
  <w:num w:numId="15" w16cid:durableId="596057240">
    <w:abstractNumId w:val="7"/>
  </w:num>
  <w:num w:numId="16" w16cid:durableId="1820149178">
    <w:abstractNumId w:val="0"/>
  </w:num>
  <w:num w:numId="17" w16cid:durableId="748501776">
    <w:abstractNumId w:val="17"/>
  </w:num>
  <w:num w:numId="18" w16cid:durableId="1486824859">
    <w:abstractNumId w:val="22"/>
  </w:num>
  <w:num w:numId="19" w16cid:durableId="2059013828">
    <w:abstractNumId w:val="35"/>
  </w:num>
  <w:num w:numId="20" w16cid:durableId="694229250">
    <w:abstractNumId w:val="16"/>
  </w:num>
  <w:num w:numId="21" w16cid:durableId="405224746">
    <w:abstractNumId w:val="37"/>
  </w:num>
  <w:num w:numId="22" w16cid:durableId="318310897">
    <w:abstractNumId w:val="40"/>
  </w:num>
  <w:num w:numId="23" w16cid:durableId="687803260">
    <w:abstractNumId w:val="15"/>
  </w:num>
  <w:num w:numId="24" w16cid:durableId="146017120">
    <w:abstractNumId w:val="15"/>
  </w:num>
  <w:num w:numId="25" w16cid:durableId="1466195654">
    <w:abstractNumId w:val="9"/>
  </w:num>
  <w:num w:numId="26" w16cid:durableId="823859976">
    <w:abstractNumId w:val="2"/>
  </w:num>
  <w:num w:numId="27" w16cid:durableId="1927884174">
    <w:abstractNumId w:val="36"/>
  </w:num>
  <w:num w:numId="28" w16cid:durableId="1909916813">
    <w:abstractNumId w:val="10"/>
  </w:num>
  <w:num w:numId="29" w16cid:durableId="1992711780">
    <w:abstractNumId w:val="14"/>
  </w:num>
  <w:num w:numId="30" w16cid:durableId="596910797">
    <w:abstractNumId w:val="41"/>
  </w:num>
  <w:num w:numId="31" w16cid:durableId="875853465">
    <w:abstractNumId w:val="1"/>
  </w:num>
  <w:num w:numId="32" w16cid:durableId="788857876">
    <w:abstractNumId w:val="34"/>
  </w:num>
  <w:num w:numId="33" w16cid:durableId="580915263">
    <w:abstractNumId w:val="43"/>
  </w:num>
  <w:num w:numId="34" w16cid:durableId="36706352">
    <w:abstractNumId w:val="18"/>
  </w:num>
  <w:num w:numId="35" w16cid:durableId="1482388480">
    <w:abstractNumId w:val="11"/>
  </w:num>
  <w:num w:numId="36" w16cid:durableId="1267613773">
    <w:abstractNumId w:val="44"/>
  </w:num>
  <w:num w:numId="37" w16cid:durableId="1562716690">
    <w:abstractNumId w:val="33"/>
  </w:num>
  <w:num w:numId="38" w16cid:durableId="813369881">
    <w:abstractNumId w:val="21"/>
  </w:num>
  <w:num w:numId="39" w16cid:durableId="304891671">
    <w:abstractNumId w:val="29"/>
  </w:num>
  <w:num w:numId="40" w16cid:durableId="9379363">
    <w:abstractNumId w:val="6"/>
  </w:num>
  <w:num w:numId="41" w16cid:durableId="1505165571">
    <w:abstractNumId w:val="25"/>
  </w:num>
  <w:num w:numId="42" w16cid:durableId="432165203">
    <w:abstractNumId w:val="28"/>
  </w:num>
  <w:num w:numId="43" w16cid:durableId="1293514654">
    <w:abstractNumId w:val="8"/>
  </w:num>
  <w:num w:numId="44" w16cid:durableId="869609651">
    <w:abstractNumId w:val="5"/>
  </w:num>
  <w:num w:numId="45" w16cid:durableId="2096390437">
    <w:abstractNumId w:val="38"/>
  </w:num>
  <w:num w:numId="46" w16cid:durableId="113923017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598"/>
    <w:rsid w:val="000002AE"/>
    <w:rsid w:val="000003CC"/>
    <w:rsid w:val="00000530"/>
    <w:rsid w:val="00000926"/>
    <w:rsid w:val="00001278"/>
    <w:rsid w:val="000013F6"/>
    <w:rsid w:val="00001437"/>
    <w:rsid w:val="0000165C"/>
    <w:rsid w:val="0000167B"/>
    <w:rsid w:val="000019FB"/>
    <w:rsid w:val="00001B7A"/>
    <w:rsid w:val="00001E2B"/>
    <w:rsid w:val="00001ED4"/>
    <w:rsid w:val="00002252"/>
    <w:rsid w:val="00002881"/>
    <w:rsid w:val="00002C1C"/>
    <w:rsid w:val="00002CCD"/>
    <w:rsid w:val="000032AE"/>
    <w:rsid w:val="000038B1"/>
    <w:rsid w:val="00003BA5"/>
    <w:rsid w:val="00004307"/>
    <w:rsid w:val="000045FB"/>
    <w:rsid w:val="00004DCF"/>
    <w:rsid w:val="00004F16"/>
    <w:rsid w:val="00005674"/>
    <w:rsid w:val="00005925"/>
    <w:rsid w:val="00005EB8"/>
    <w:rsid w:val="00006172"/>
    <w:rsid w:val="0000665E"/>
    <w:rsid w:val="000073D2"/>
    <w:rsid w:val="00007F68"/>
    <w:rsid w:val="000108BE"/>
    <w:rsid w:val="00010D58"/>
    <w:rsid w:val="000115A2"/>
    <w:rsid w:val="000117D8"/>
    <w:rsid w:val="000121A8"/>
    <w:rsid w:val="00012781"/>
    <w:rsid w:val="00012ACD"/>
    <w:rsid w:val="00012FB4"/>
    <w:rsid w:val="0001329E"/>
    <w:rsid w:val="000134F1"/>
    <w:rsid w:val="00013BEC"/>
    <w:rsid w:val="00013C44"/>
    <w:rsid w:val="00013ECF"/>
    <w:rsid w:val="00013FC9"/>
    <w:rsid w:val="00014246"/>
    <w:rsid w:val="0001429E"/>
    <w:rsid w:val="00014D0D"/>
    <w:rsid w:val="00014EAD"/>
    <w:rsid w:val="00014F25"/>
    <w:rsid w:val="00015107"/>
    <w:rsid w:val="00015370"/>
    <w:rsid w:val="00015674"/>
    <w:rsid w:val="00016805"/>
    <w:rsid w:val="00016CEF"/>
    <w:rsid w:val="00017427"/>
    <w:rsid w:val="000177EF"/>
    <w:rsid w:val="00017D51"/>
    <w:rsid w:val="00017FF6"/>
    <w:rsid w:val="00020904"/>
    <w:rsid w:val="0002091B"/>
    <w:rsid w:val="00020D03"/>
    <w:rsid w:val="00020F69"/>
    <w:rsid w:val="000212B0"/>
    <w:rsid w:val="0002188F"/>
    <w:rsid w:val="00021D52"/>
    <w:rsid w:val="00021FD5"/>
    <w:rsid w:val="00022F9D"/>
    <w:rsid w:val="00023745"/>
    <w:rsid w:val="000238F3"/>
    <w:rsid w:val="00023981"/>
    <w:rsid w:val="00023ADD"/>
    <w:rsid w:val="00023DC8"/>
    <w:rsid w:val="00024165"/>
    <w:rsid w:val="000245CA"/>
    <w:rsid w:val="00024BD6"/>
    <w:rsid w:val="00024BF7"/>
    <w:rsid w:val="00024DE4"/>
    <w:rsid w:val="00024FF6"/>
    <w:rsid w:val="00025456"/>
    <w:rsid w:val="00025B90"/>
    <w:rsid w:val="0002670B"/>
    <w:rsid w:val="000267E3"/>
    <w:rsid w:val="00026985"/>
    <w:rsid w:val="00027A8F"/>
    <w:rsid w:val="00027D48"/>
    <w:rsid w:val="000306FE"/>
    <w:rsid w:val="000309EC"/>
    <w:rsid w:val="00030C84"/>
    <w:rsid w:val="00031937"/>
    <w:rsid w:val="00031A96"/>
    <w:rsid w:val="00031FB0"/>
    <w:rsid w:val="00032230"/>
    <w:rsid w:val="0003257D"/>
    <w:rsid w:val="000326D8"/>
    <w:rsid w:val="00032B26"/>
    <w:rsid w:val="00033312"/>
    <w:rsid w:val="0003343E"/>
    <w:rsid w:val="00033638"/>
    <w:rsid w:val="00033A52"/>
    <w:rsid w:val="00033B15"/>
    <w:rsid w:val="00033DB1"/>
    <w:rsid w:val="000347BC"/>
    <w:rsid w:val="000347FD"/>
    <w:rsid w:val="00035952"/>
    <w:rsid w:val="00035C14"/>
    <w:rsid w:val="00035E51"/>
    <w:rsid w:val="00036843"/>
    <w:rsid w:val="000369C8"/>
    <w:rsid w:val="00040416"/>
    <w:rsid w:val="000410C1"/>
    <w:rsid w:val="0004120F"/>
    <w:rsid w:val="00041776"/>
    <w:rsid w:val="0004212A"/>
    <w:rsid w:val="00042669"/>
    <w:rsid w:val="00042AA3"/>
    <w:rsid w:val="00043B88"/>
    <w:rsid w:val="000441F1"/>
    <w:rsid w:val="000449B7"/>
    <w:rsid w:val="00044AF8"/>
    <w:rsid w:val="000453CA"/>
    <w:rsid w:val="00045570"/>
    <w:rsid w:val="00045861"/>
    <w:rsid w:val="00045CD6"/>
    <w:rsid w:val="00046004"/>
    <w:rsid w:val="00046060"/>
    <w:rsid w:val="00046E34"/>
    <w:rsid w:val="00046F9F"/>
    <w:rsid w:val="000476BB"/>
    <w:rsid w:val="000476F2"/>
    <w:rsid w:val="00047AF2"/>
    <w:rsid w:val="000500D6"/>
    <w:rsid w:val="00050721"/>
    <w:rsid w:val="00051734"/>
    <w:rsid w:val="00051879"/>
    <w:rsid w:val="00051BBF"/>
    <w:rsid w:val="0005215A"/>
    <w:rsid w:val="00053482"/>
    <w:rsid w:val="00053A65"/>
    <w:rsid w:val="00053AD6"/>
    <w:rsid w:val="00053DB7"/>
    <w:rsid w:val="00053F58"/>
    <w:rsid w:val="0005529E"/>
    <w:rsid w:val="00055614"/>
    <w:rsid w:val="00055925"/>
    <w:rsid w:val="00055D08"/>
    <w:rsid w:val="00055DD0"/>
    <w:rsid w:val="00056E8E"/>
    <w:rsid w:val="000572DF"/>
    <w:rsid w:val="00057827"/>
    <w:rsid w:val="00057B7D"/>
    <w:rsid w:val="00057EB8"/>
    <w:rsid w:val="000617F8"/>
    <w:rsid w:val="00061975"/>
    <w:rsid w:val="00061E2E"/>
    <w:rsid w:val="0006231C"/>
    <w:rsid w:val="00062CBA"/>
    <w:rsid w:val="00062E16"/>
    <w:rsid w:val="00062ED8"/>
    <w:rsid w:val="00063364"/>
    <w:rsid w:val="00063373"/>
    <w:rsid w:val="00063A1D"/>
    <w:rsid w:val="00063CB5"/>
    <w:rsid w:val="00063DE1"/>
    <w:rsid w:val="00064239"/>
    <w:rsid w:val="000642AF"/>
    <w:rsid w:val="0006477B"/>
    <w:rsid w:val="00064BA9"/>
    <w:rsid w:val="00064BD3"/>
    <w:rsid w:val="00064EA8"/>
    <w:rsid w:val="00065259"/>
    <w:rsid w:val="00065451"/>
    <w:rsid w:val="000655A9"/>
    <w:rsid w:val="00065991"/>
    <w:rsid w:val="00065C24"/>
    <w:rsid w:val="00066095"/>
    <w:rsid w:val="00066283"/>
    <w:rsid w:val="00066286"/>
    <w:rsid w:val="0006680E"/>
    <w:rsid w:val="00066CD1"/>
    <w:rsid w:val="00067459"/>
    <w:rsid w:val="00067741"/>
    <w:rsid w:val="000678AC"/>
    <w:rsid w:val="00067B4A"/>
    <w:rsid w:val="00067E7F"/>
    <w:rsid w:val="00070108"/>
    <w:rsid w:val="00070552"/>
    <w:rsid w:val="000705C1"/>
    <w:rsid w:val="000706ED"/>
    <w:rsid w:val="000707A3"/>
    <w:rsid w:val="00070899"/>
    <w:rsid w:val="00070A2D"/>
    <w:rsid w:val="00071109"/>
    <w:rsid w:val="00071810"/>
    <w:rsid w:val="00071B55"/>
    <w:rsid w:val="00071CAF"/>
    <w:rsid w:val="00071DD6"/>
    <w:rsid w:val="00072136"/>
    <w:rsid w:val="00072BAA"/>
    <w:rsid w:val="00072C8D"/>
    <w:rsid w:val="0007319D"/>
    <w:rsid w:val="00073457"/>
    <w:rsid w:val="000736AA"/>
    <w:rsid w:val="000737A4"/>
    <w:rsid w:val="000738DF"/>
    <w:rsid w:val="000741A3"/>
    <w:rsid w:val="00074337"/>
    <w:rsid w:val="00074476"/>
    <w:rsid w:val="00074844"/>
    <w:rsid w:val="00074C38"/>
    <w:rsid w:val="00075216"/>
    <w:rsid w:val="000754D5"/>
    <w:rsid w:val="00076100"/>
    <w:rsid w:val="00076415"/>
    <w:rsid w:val="00076794"/>
    <w:rsid w:val="0007736A"/>
    <w:rsid w:val="00077425"/>
    <w:rsid w:val="0007767A"/>
    <w:rsid w:val="00080010"/>
    <w:rsid w:val="00080DA6"/>
    <w:rsid w:val="00080F11"/>
    <w:rsid w:val="00080F5E"/>
    <w:rsid w:val="00081A07"/>
    <w:rsid w:val="00082333"/>
    <w:rsid w:val="000823E4"/>
    <w:rsid w:val="0008278D"/>
    <w:rsid w:val="00082DFF"/>
    <w:rsid w:val="00082E65"/>
    <w:rsid w:val="00083239"/>
    <w:rsid w:val="0008334E"/>
    <w:rsid w:val="0008351D"/>
    <w:rsid w:val="000836FF"/>
    <w:rsid w:val="0008380C"/>
    <w:rsid w:val="00083DEF"/>
    <w:rsid w:val="00083ED3"/>
    <w:rsid w:val="00083EE3"/>
    <w:rsid w:val="000846BE"/>
    <w:rsid w:val="00084748"/>
    <w:rsid w:val="000852BF"/>
    <w:rsid w:val="000853F6"/>
    <w:rsid w:val="000858E9"/>
    <w:rsid w:val="00085E1C"/>
    <w:rsid w:val="0008619F"/>
    <w:rsid w:val="000865AA"/>
    <w:rsid w:val="00086C6E"/>
    <w:rsid w:val="00087430"/>
    <w:rsid w:val="00087551"/>
    <w:rsid w:val="0008775B"/>
    <w:rsid w:val="00087EC1"/>
    <w:rsid w:val="00087EE1"/>
    <w:rsid w:val="00087EFB"/>
    <w:rsid w:val="00090202"/>
    <w:rsid w:val="00090AF4"/>
    <w:rsid w:val="00090C53"/>
    <w:rsid w:val="000918BC"/>
    <w:rsid w:val="00091942"/>
    <w:rsid w:val="00091A7F"/>
    <w:rsid w:val="00091E02"/>
    <w:rsid w:val="00092A19"/>
    <w:rsid w:val="00093371"/>
    <w:rsid w:val="00093A1B"/>
    <w:rsid w:val="00093E2B"/>
    <w:rsid w:val="00094050"/>
    <w:rsid w:val="000944FE"/>
    <w:rsid w:val="0009458D"/>
    <w:rsid w:val="00094A23"/>
    <w:rsid w:val="00094E26"/>
    <w:rsid w:val="0009511C"/>
    <w:rsid w:val="00095331"/>
    <w:rsid w:val="000958AF"/>
    <w:rsid w:val="00096497"/>
    <w:rsid w:val="00096FA6"/>
    <w:rsid w:val="00097862"/>
    <w:rsid w:val="00097889"/>
    <w:rsid w:val="00097F39"/>
    <w:rsid w:val="000A1AB2"/>
    <w:rsid w:val="000A1BF3"/>
    <w:rsid w:val="000A2C08"/>
    <w:rsid w:val="000A2D14"/>
    <w:rsid w:val="000A2D19"/>
    <w:rsid w:val="000A2D1D"/>
    <w:rsid w:val="000A424A"/>
    <w:rsid w:val="000A47FE"/>
    <w:rsid w:val="000A4A23"/>
    <w:rsid w:val="000A4AD2"/>
    <w:rsid w:val="000A5922"/>
    <w:rsid w:val="000A5B5B"/>
    <w:rsid w:val="000A5E16"/>
    <w:rsid w:val="000A5FC5"/>
    <w:rsid w:val="000A60A1"/>
    <w:rsid w:val="000A61EB"/>
    <w:rsid w:val="000A6C8D"/>
    <w:rsid w:val="000A74BA"/>
    <w:rsid w:val="000A7603"/>
    <w:rsid w:val="000A7DD5"/>
    <w:rsid w:val="000A7E28"/>
    <w:rsid w:val="000B04CE"/>
    <w:rsid w:val="000B057B"/>
    <w:rsid w:val="000B072C"/>
    <w:rsid w:val="000B0FCB"/>
    <w:rsid w:val="000B12F0"/>
    <w:rsid w:val="000B1376"/>
    <w:rsid w:val="000B1C5F"/>
    <w:rsid w:val="000B1E68"/>
    <w:rsid w:val="000B20C3"/>
    <w:rsid w:val="000B2992"/>
    <w:rsid w:val="000B29FE"/>
    <w:rsid w:val="000B2E7A"/>
    <w:rsid w:val="000B346C"/>
    <w:rsid w:val="000B3E87"/>
    <w:rsid w:val="000B404E"/>
    <w:rsid w:val="000B4083"/>
    <w:rsid w:val="000B4154"/>
    <w:rsid w:val="000B46D9"/>
    <w:rsid w:val="000B4929"/>
    <w:rsid w:val="000B4A3D"/>
    <w:rsid w:val="000B5075"/>
    <w:rsid w:val="000B5A6C"/>
    <w:rsid w:val="000B5CD0"/>
    <w:rsid w:val="000B5E1C"/>
    <w:rsid w:val="000B6143"/>
    <w:rsid w:val="000B6B1B"/>
    <w:rsid w:val="000B6D0C"/>
    <w:rsid w:val="000B72EA"/>
    <w:rsid w:val="000B75A4"/>
    <w:rsid w:val="000B76E1"/>
    <w:rsid w:val="000B778D"/>
    <w:rsid w:val="000C0275"/>
    <w:rsid w:val="000C0470"/>
    <w:rsid w:val="000C070B"/>
    <w:rsid w:val="000C10D5"/>
    <w:rsid w:val="000C18E5"/>
    <w:rsid w:val="000C1B89"/>
    <w:rsid w:val="000C1CC5"/>
    <w:rsid w:val="000C1F8D"/>
    <w:rsid w:val="000C20CC"/>
    <w:rsid w:val="000C25EB"/>
    <w:rsid w:val="000C2639"/>
    <w:rsid w:val="000C27C6"/>
    <w:rsid w:val="000C283B"/>
    <w:rsid w:val="000C292E"/>
    <w:rsid w:val="000C3476"/>
    <w:rsid w:val="000C3496"/>
    <w:rsid w:val="000C3815"/>
    <w:rsid w:val="000C3E95"/>
    <w:rsid w:val="000C487F"/>
    <w:rsid w:val="000C4AD1"/>
    <w:rsid w:val="000C508A"/>
    <w:rsid w:val="000C51BD"/>
    <w:rsid w:val="000C51D3"/>
    <w:rsid w:val="000C52BC"/>
    <w:rsid w:val="000C5320"/>
    <w:rsid w:val="000C54D3"/>
    <w:rsid w:val="000C5BA6"/>
    <w:rsid w:val="000C5BDD"/>
    <w:rsid w:val="000C662D"/>
    <w:rsid w:val="000C6796"/>
    <w:rsid w:val="000C7076"/>
    <w:rsid w:val="000C71BD"/>
    <w:rsid w:val="000C74F2"/>
    <w:rsid w:val="000C795B"/>
    <w:rsid w:val="000C7961"/>
    <w:rsid w:val="000C7E9B"/>
    <w:rsid w:val="000D0188"/>
    <w:rsid w:val="000D1059"/>
    <w:rsid w:val="000D15A1"/>
    <w:rsid w:val="000D17AF"/>
    <w:rsid w:val="000D2193"/>
    <w:rsid w:val="000D2677"/>
    <w:rsid w:val="000D2952"/>
    <w:rsid w:val="000D29F4"/>
    <w:rsid w:val="000D2CF4"/>
    <w:rsid w:val="000D2D05"/>
    <w:rsid w:val="000D2DE9"/>
    <w:rsid w:val="000D2DF6"/>
    <w:rsid w:val="000D2F4D"/>
    <w:rsid w:val="000D34A3"/>
    <w:rsid w:val="000D3566"/>
    <w:rsid w:val="000D365F"/>
    <w:rsid w:val="000D3F6A"/>
    <w:rsid w:val="000D4B4D"/>
    <w:rsid w:val="000D4B80"/>
    <w:rsid w:val="000D4BC3"/>
    <w:rsid w:val="000D4CB3"/>
    <w:rsid w:val="000D515B"/>
    <w:rsid w:val="000D555A"/>
    <w:rsid w:val="000D57BA"/>
    <w:rsid w:val="000D58D6"/>
    <w:rsid w:val="000D5BE8"/>
    <w:rsid w:val="000D734F"/>
    <w:rsid w:val="000D7477"/>
    <w:rsid w:val="000D7805"/>
    <w:rsid w:val="000D7EEB"/>
    <w:rsid w:val="000E0059"/>
    <w:rsid w:val="000E055B"/>
    <w:rsid w:val="000E058F"/>
    <w:rsid w:val="000E08B2"/>
    <w:rsid w:val="000E0D12"/>
    <w:rsid w:val="000E0DAA"/>
    <w:rsid w:val="000E0E1E"/>
    <w:rsid w:val="000E0EB5"/>
    <w:rsid w:val="000E0F3C"/>
    <w:rsid w:val="000E1495"/>
    <w:rsid w:val="000E193E"/>
    <w:rsid w:val="000E3036"/>
    <w:rsid w:val="000E3B60"/>
    <w:rsid w:val="000E3BAE"/>
    <w:rsid w:val="000E3E7A"/>
    <w:rsid w:val="000E4641"/>
    <w:rsid w:val="000E488C"/>
    <w:rsid w:val="000E4E2E"/>
    <w:rsid w:val="000E51BC"/>
    <w:rsid w:val="000E56E2"/>
    <w:rsid w:val="000E5739"/>
    <w:rsid w:val="000E5997"/>
    <w:rsid w:val="000E5A40"/>
    <w:rsid w:val="000E5B2A"/>
    <w:rsid w:val="000E5CCD"/>
    <w:rsid w:val="000E5D0D"/>
    <w:rsid w:val="000E60F8"/>
    <w:rsid w:val="000E6989"/>
    <w:rsid w:val="000E7209"/>
    <w:rsid w:val="000E7387"/>
    <w:rsid w:val="000E76E2"/>
    <w:rsid w:val="000E79A8"/>
    <w:rsid w:val="000E79C1"/>
    <w:rsid w:val="000E7AE8"/>
    <w:rsid w:val="000F049B"/>
    <w:rsid w:val="000F058D"/>
    <w:rsid w:val="000F0DA3"/>
    <w:rsid w:val="000F1214"/>
    <w:rsid w:val="000F19C1"/>
    <w:rsid w:val="000F2791"/>
    <w:rsid w:val="000F2939"/>
    <w:rsid w:val="000F2D5F"/>
    <w:rsid w:val="000F3450"/>
    <w:rsid w:val="000F3942"/>
    <w:rsid w:val="000F3AC7"/>
    <w:rsid w:val="000F41CA"/>
    <w:rsid w:val="000F4380"/>
    <w:rsid w:val="000F45C8"/>
    <w:rsid w:val="000F462B"/>
    <w:rsid w:val="000F4B0C"/>
    <w:rsid w:val="000F4CE8"/>
    <w:rsid w:val="000F4F51"/>
    <w:rsid w:val="000F5067"/>
    <w:rsid w:val="000F53ED"/>
    <w:rsid w:val="000F55E5"/>
    <w:rsid w:val="000F5965"/>
    <w:rsid w:val="000F62DA"/>
    <w:rsid w:val="000F794A"/>
    <w:rsid w:val="000F7C74"/>
    <w:rsid w:val="00100404"/>
    <w:rsid w:val="001009C9"/>
    <w:rsid w:val="00100D98"/>
    <w:rsid w:val="00100FAB"/>
    <w:rsid w:val="001012BA"/>
    <w:rsid w:val="001016EC"/>
    <w:rsid w:val="00101781"/>
    <w:rsid w:val="0010198B"/>
    <w:rsid w:val="00101A90"/>
    <w:rsid w:val="00101FE5"/>
    <w:rsid w:val="0010220A"/>
    <w:rsid w:val="00102276"/>
    <w:rsid w:val="001023B3"/>
    <w:rsid w:val="001030E8"/>
    <w:rsid w:val="00103354"/>
    <w:rsid w:val="00103988"/>
    <w:rsid w:val="00103E94"/>
    <w:rsid w:val="00103FCC"/>
    <w:rsid w:val="001043AB"/>
    <w:rsid w:val="001057E4"/>
    <w:rsid w:val="00105C3B"/>
    <w:rsid w:val="00105CC5"/>
    <w:rsid w:val="00105EBF"/>
    <w:rsid w:val="00105FFE"/>
    <w:rsid w:val="001068D2"/>
    <w:rsid w:val="0010690C"/>
    <w:rsid w:val="00106959"/>
    <w:rsid w:val="001069AF"/>
    <w:rsid w:val="00106B8A"/>
    <w:rsid w:val="00106D16"/>
    <w:rsid w:val="00106E19"/>
    <w:rsid w:val="00106EF4"/>
    <w:rsid w:val="0010734F"/>
    <w:rsid w:val="00107432"/>
    <w:rsid w:val="00107A66"/>
    <w:rsid w:val="00107B97"/>
    <w:rsid w:val="00107D8A"/>
    <w:rsid w:val="001100B3"/>
    <w:rsid w:val="00110318"/>
    <w:rsid w:val="001107CB"/>
    <w:rsid w:val="001108D7"/>
    <w:rsid w:val="001111A3"/>
    <w:rsid w:val="00111626"/>
    <w:rsid w:val="00111D58"/>
    <w:rsid w:val="00112008"/>
    <w:rsid w:val="00112A52"/>
    <w:rsid w:val="00112EB2"/>
    <w:rsid w:val="00113615"/>
    <w:rsid w:val="00113A1E"/>
    <w:rsid w:val="00113D53"/>
    <w:rsid w:val="00114083"/>
    <w:rsid w:val="0011428C"/>
    <w:rsid w:val="0011429F"/>
    <w:rsid w:val="001142BF"/>
    <w:rsid w:val="001144CE"/>
    <w:rsid w:val="00114548"/>
    <w:rsid w:val="00114555"/>
    <w:rsid w:val="001147A1"/>
    <w:rsid w:val="00115772"/>
    <w:rsid w:val="00115AE0"/>
    <w:rsid w:val="00116127"/>
    <w:rsid w:val="00116A12"/>
    <w:rsid w:val="00117AC8"/>
    <w:rsid w:val="00117DB5"/>
    <w:rsid w:val="001200AF"/>
    <w:rsid w:val="001203D8"/>
    <w:rsid w:val="00120601"/>
    <w:rsid w:val="001209E8"/>
    <w:rsid w:val="00120BFC"/>
    <w:rsid w:val="00120FEC"/>
    <w:rsid w:val="00121349"/>
    <w:rsid w:val="001214B6"/>
    <w:rsid w:val="00121649"/>
    <w:rsid w:val="00121A26"/>
    <w:rsid w:val="00121E60"/>
    <w:rsid w:val="0012258B"/>
    <w:rsid w:val="00122981"/>
    <w:rsid w:val="00122F2F"/>
    <w:rsid w:val="00122FDE"/>
    <w:rsid w:val="0012357F"/>
    <w:rsid w:val="00123CB6"/>
    <w:rsid w:val="00124319"/>
    <w:rsid w:val="00125827"/>
    <w:rsid w:val="0012656D"/>
    <w:rsid w:val="00126E0E"/>
    <w:rsid w:val="00126FD5"/>
    <w:rsid w:val="001273C0"/>
    <w:rsid w:val="00127460"/>
    <w:rsid w:val="0012763E"/>
    <w:rsid w:val="001276C3"/>
    <w:rsid w:val="0012782F"/>
    <w:rsid w:val="0012783A"/>
    <w:rsid w:val="00127FBD"/>
    <w:rsid w:val="00130495"/>
    <w:rsid w:val="001309AB"/>
    <w:rsid w:val="00130BCE"/>
    <w:rsid w:val="001313C1"/>
    <w:rsid w:val="00131669"/>
    <w:rsid w:val="001318FD"/>
    <w:rsid w:val="00131ABF"/>
    <w:rsid w:val="00131D6C"/>
    <w:rsid w:val="00131D79"/>
    <w:rsid w:val="001323BD"/>
    <w:rsid w:val="00132DC4"/>
    <w:rsid w:val="00133083"/>
    <w:rsid w:val="00133C2F"/>
    <w:rsid w:val="0013422C"/>
    <w:rsid w:val="00134770"/>
    <w:rsid w:val="0013499D"/>
    <w:rsid w:val="00135143"/>
    <w:rsid w:val="00135308"/>
    <w:rsid w:val="001359D4"/>
    <w:rsid w:val="00135FB7"/>
    <w:rsid w:val="0013608E"/>
    <w:rsid w:val="00136243"/>
    <w:rsid w:val="00136F6F"/>
    <w:rsid w:val="00136F81"/>
    <w:rsid w:val="001375AC"/>
    <w:rsid w:val="001375B4"/>
    <w:rsid w:val="001401B1"/>
    <w:rsid w:val="001408F3"/>
    <w:rsid w:val="00141216"/>
    <w:rsid w:val="0014145A"/>
    <w:rsid w:val="00141467"/>
    <w:rsid w:val="0014161C"/>
    <w:rsid w:val="0014189B"/>
    <w:rsid w:val="00141CCF"/>
    <w:rsid w:val="00141D10"/>
    <w:rsid w:val="001427D5"/>
    <w:rsid w:val="00143321"/>
    <w:rsid w:val="00143517"/>
    <w:rsid w:val="00143578"/>
    <w:rsid w:val="001440DB"/>
    <w:rsid w:val="00144147"/>
    <w:rsid w:val="00144962"/>
    <w:rsid w:val="00144D8F"/>
    <w:rsid w:val="0014560C"/>
    <w:rsid w:val="00145AE6"/>
    <w:rsid w:val="0014637C"/>
    <w:rsid w:val="00146B11"/>
    <w:rsid w:val="00146C6D"/>
    <w:rsid w:val="00146E1A"/>
    <w:rsid w:val="001470BF"/>
    <w:rsid w:val="0014747D"/>
    <w:rsid w:val="001479E4"/>
    <w:rsid w:val="00147A6B"/>
    <w:rsid w:val="00147BFA"/>
    <w:rsid w:val="00147D82"/>
    <w:rsid w:val="00147F55"/>
    <w:rsid w:val="001500AB"/>
    <w:rsid w:val="001504EE"/>
    <w:rsid w:val="00150748"/>
    <w:rsid w:val="001512E2"/>
    <w:rsid w:val="00151A60"/>
    <w:rsid w:val="0015220B"/>
    <w:rsid w:val="00152237"/>
    <w:rsid w:val="0015275F"/>
    <w:rsid w:val="00152BD7"/>
    <w:rsid w:val="00152BDF"/>
    <w:rsid w:val="00153096"/>
    <w:rsid w:val="00153192"/>
    <w:rsid w:val="00153921"/>
    <w:rsid w:val="00153B8C"/>
    <w:rsid w:val="00153D01"/>
    <w:rsid w:val="0015408D"/>
    <w:rsid w:val="00154995"/>
    <w:rsid w:val="00154AFD"/>
    <w:rsid w:val="0015532C"/>
    <w:rsid w:val="00155803"/>
    <w:rsid w:val="001559F9"/>
    <w:rsid w:val="00155DDA"/>
    <w:rsid w:val="001560C9"/>
    <w:rsid w:val="001565F1"/>
    <w:rsid w:val="001574E6"/>
    <w:rsid w:val="00157E39"/>
    <w:rsid w:val="0016015D"/>
    <w:rsid w:val="001604DC"/>
    <w:rsid w:val="001604E9"/>
    <w:rsid w:val="001605C0"/>
    <w:rsid w:val="00160BA5"/>
    <w:rsid w:val="001610AF"/>
    <w:rsid w:val="0016130F"/>
    <w:rsid w:val="001613DC"/>
    <w:rsid w:val="001614F2"/>
    <w:rsid w:val="00161C57"/>
    <w:rsid w:val="001623FA"/>
    <w:rsid w:val="0016259E"/>
    <w:rsid w:val="001628C8"/>
    <w:rsid w:val="00162970"/>
    <w:rsid w:val="00162A95"/>
    <w:rsid w:val="0016346E"/>
    <w:rsid w:val="00163B12"/>
    <w:rsid w:val="00163DED"/>
    <w:rsid w:val="0016405A"/>
    <w:rsid w:val="0016414B"/>
    <w:rsid w:val="00164250"/>
    <w:rsid w:val="00164331"/>
    <w:rsid w:val="001650AC"/>
    <w:rsid w:val="0016510F"/>
    <w:rsid w:val="00165B33"/>
    <w:rsid w:val="00165BF3"/>
    <w:rsid w:val="00165C20"/>
    <w:rsid w:val="00166CE0"/>
    <w:rsid w:val="00166E43"/>
    <w:rsid w:val="00166FAB"/>
    <w:rsid w:val="001672FB"/>
    <w:rsid w:val="001674F6"/>
    <w:rsid w:val="00167B5B"/>
    <w:rsid w:val="00167C01"/>
    <w:rsid w:val="00167F96"/>
    <w:rsid w:val="001701AC"/>
    <w:rsid w:val="001703DF"/>
    <w:rsid w:val="0017086E"/>
    <w:rsid w:val="001708EB"/>
    <w:rsid w:val="00170F9B"/>
    <w:rsid w:val="001718B6"/>
    <w:rsid w:val="001721DD"/>
    <w:rsid w:val="001728DE"/>
    <w:rsid w:val="00173552"/>
    <w:rsid w:val="00173633"/>
    <w:rsid w:val="00173790"/>
    <w:rsid w:val="00173979"/>
    <w:rsid w:val="00174404"/>
    <w:rsid w:val="00174CC9"/>
    <w:rsid w:val="00174F98"/>
    <w:rsid w:val="00175199"/>
    <w:rsid w:val="0017533D"/>
    <w:rsid w:val="001756B6"/>
    <w:rsid w:val="00175DBD"/>
    <w:rsid w:val="001765BE"/>
    <w:rsid w:val="00176A38"/>
    <w:rsid w:val="00177A7B"/>
    <w:rsid w:val="00180159"/>
    <w:rsid w:val="00180370"/>
    <w:rsid w:val="00180579"/>
    <w:rsid w:val="0018117D"/>
    <w:rsid w:val="001814B1"/>
    <w:rsid w:val="00181854"/>
    <w:rsid w:val="00181AAA"/>
    <w:rsid w:val="00181AC7"/>
    <w:rsid w:val="00181E8C"/>
    <w:rsid w:val="001822D3"/>
    <w:rsid w:val="00182971"/>
    <w:rsid w:val="00182B79"/>
    <w:rsid w:val="00182E81"/>
    <w:rsid w:val="001832CB"/>
    <w:rsid w:val="001838CB"/>
    <w:rsid w:val="00183B3E"/>
    <w:rsid w:val="00183D01"/>
    <w:rsid w:val="00183EC1"/>
    <w:rsid w:val="00183EF6"/>
    <w:rsid w:val="00184554"/>
    <w:rsid w:val="001846A0"/>
    <w:rsid w:val="00184930"/>
    <w:rsid w:val="00185191"/>
    <w:rsid w:val="001864AB"/>
    <w:rsid w:val="00186ACF"/>
    <w:rsid w:val="00186D74"/>
    <w:rsid w:val="00186F1E"/>
    <w:rsid w:val="00190258"/>
    <w:rsid w:val="001906F4"/>
    <w:rsid w:val="00190C02"/>
    <w:rsid w:val="00190C51"/>
    <w:rsid w:val="00190FE8"/>
    <w:rsid w:val="00191BA7"/>
    <w:rsid w:val="0019223F"/>
    <w:rsid w:val="00192264"/>
    <w:rsid w:val="001927C6"/>
    <w:rsid w:val="001932CF"/>
    <w:rsid w:val="00193413"/>
    <w:rsid w:val="00193495"/>
    <w:rsid w:val="00193510"/>
    <w:rsid w:val="00193923"/>
    <w:rsid w:val="00193B3F"/>
    <w:rsid w:val="00193F01"/>
    <w:rsid w:val="00195129"/>
    <w:rsid w:val="00196244"/>
    <w:rsid w:val="00196269"/>
    <w:rsid w:val="00196296"/>
    <w:rsid w:val="001965C3"/>
    <w:rsid w:val="0019663D"/>
    <w:rsid w:val="00196B0B"/>
    <w:rsid w:val="00197385"/>
    <w:rsid w:val="00197631"/>
    <w:rsid w:val="001979A1"/>
    <w:rsid w:val="00197C75"/>
    <w:rsid w:val="001A0005"/>
    <w:rsid w:val="001A00C9"/>
    <w:rsid w:val="001A022D"/>
    <w:rsid w:val="001A06FB"/>
    <w:rsid w:val="001A14C8"/>
    <w:rsid w:val="001A16C4"/>
    <w:rsid w:val="001A1804"/>
    <w:rsid w:val="001A1C67"/>
    <w:rsid w:val="001A1D21"/>
    <w:rsid w:val="001A1E5E"/>
    <w:rsid w:val="001A20FB"/>
    <w:rsid w:val="001A2E9A"/>
    <w:rsid w:val="001A2EF4"/>
    <w:rsid w:val="001A30CA"/>
    <w:rsid w:val="001A3807"/>
    <w:rsid w:val="001A3DAA"/>
    <w:rsid w:val="001A4726"/>
    <w:rsid w:val="001A47B1"/>
    <w:rsid w:val="001A4D7B"/>
    <w:rsid w:val="001A5253"/>
    <w:rsid w:val="001A5694"/>
    <w:rsid w:val="001A6717"/>
    <w:rsid w:val="001A683F"/>
    <w:rsid w:val="001A6FDA"/>
    <w:rsid w:val="001A708A"/>
    <w:rsid w:val="001A70BA"/>
    <w:rsid w:val="001A7138"/>
    <w:rsid w:val="001A7605"/>
    <w:rsid w:val="001A76BF"/>
    <w:rsid w:val="001A7B54"/>
    <w:rsid w:val="001A7B66"/>
    <w:rsid w:val="001B06D8"/>
    <w:rsid w:val="001B06F9"/>
    <w:rsid w:val="001B0B04"/>
    <w:rsid w:val="001B0E2C"/>
    <w:rsid w:val="001B1571"/>
    <w:rsid w:val="001B1821"/>
    <w:rsid w:val="001B1E40"/>
    <w:rsid w:val="001B21B7"/>
    <w:rsid w:val="001B285E"/>
    <w:rsid w:val="001B2897"/>
    <w:rsid w:val="001B2958"/>
    <w:rsid w:val="001B29CF"/>
    <w:rsid w:val="001B2B19"/>
    <w:rsid w:val="001B2CE4"/>
    <w:rsid w:val="001B2E72"/>
    <w:rsid w:val="001B3718"/>
    <w:rsid w:val="001B3A8F"/>
    <w:rsid w:val="001B3C38"/>
    <w:rsid w:val="001B3C43"/>
    <w:rsid w:val="001B3FE3"/>
    <w:rsid w:val="001B423D"/>
    <w:rsid w:val="001B4D15"/>
    <w:rsid w:val="001B55B2"/>
    <w:rsid w:val="001B5DC7"/>
    <w:rsid w:val="001B61DF"/>
    <w:rsid w:val="001B631F"/>
    <w:rsid w:val="001B65C3"/>
    <w:rsid w:val="001B676F"/>
    <w:rsid w:val="001B67A5"/>
    <w:rsid w:val="001B6A91"/>
    <w:rsid w:val="001B6D43"/>
    <w:rsid w:val="001B71EE"/>
    <w:rsid w:val="001B7969"/>
    <w:rsid w:val="001B7BC8"/>
    <w:rsid w:val="001C0194"/>
    <w:rsid w:val="001C0332"/>
    <w:rsid w:val="001C0450"/>
    <w:rsid w:val="001C0F2D"/>
    <w:rsid w:val="001C0FBC"/>
    <w:rsid w:val="001C19CB"/>
    <w:rsid w:val="001C1B0B"/>
    <w:rsid w:val="001C1D66"/>
    <w:rsid w:val="001C1F0C"/>
    <w:rsid w:val="001C236C"/>
    <w:rsid w:val="001C2953"/>
    <w:rsid w:val="001C29A0"/>
    <w:rsid w:val="001C2DA4"/>
    <w:rsid w:val="001C2E49"/>
    <w:rsid w:val="001C336B"/>
    <w:rsid w:val="001C34B5"/>
    <w:rsid w:val="001C353B"/>
    <w:rsid w:val="001C3932"/>
    <w:rsid w:val="001C3AE9"/>
    <w:rsid w:val="001C3BBF"/>
    <w:rsid w:val="001C3C74"/>
    <w:rsid w:val="001C3CED"/>
    <w:rsid w:val="001C3E21"/>
    <w:rsid w:val="001C3EA4"/>
    <w:rsid w:val="001C41AB"/>
    <w:rsid w:val="001C46CE"/>
    <w:rsid w:val="001C4E87"/>
    <w:rsid w:val="001C508F"/>
    <w:rsid w:val="001C5217"/>
    <w:rsid w:val="001C54EC"/>
    <w:rsid w:val="001C55F6"/>
    <w:rsid w:val="001C5F1C"/>
    <w:rsid w:val="001C6301"/>
    <w:rsid w:val="001C677D"/>
    <w:rsid w:val="001C709A"/>
    <w:rsid w:val="001C7576"/>
    <w:rsid w:val="001C76CC"/>
    <w:rsid w:val="001C788D"/>
    <w:rsid w:val="001D0130"/>
    <w:rsid w:val="001D016C"/>
    <w:rsid w:val="001D034B"/>
    <w:rsid w:val="001D10C0"/>
    <w:rsid w:val="001D1179"/>
    <w:rsid w:val="001D17CB"/>
    <w:rsid w:val="001D1A94"/>
    <w:rsid w:val="001D1C90"/>
    <w:rsid w:val="001D1C9B"/>
    <w:rsid w:val="001D1D27"/>
    <w:rsid w:val="001D2C47"/>
    <w:rsid w:val="001D2C62"/>
    <w:rsid w:val="001D37C1"/>
    <w:rsid w:val="001D3F63"/>
    <w:rsid w:val="001D41AC"/>
    <w:rsid w:val="001D47C7"/>
    <w:rsid w:val="001D4B18"/>
    <w:rsid w:val="001D54E4"/>
    <w:rsid w:val="001D6D16"/>
    <w:rsid w:val="001D708B"/>
    <w:rsid w:val="001D7269"/>
    <w:rsid w:val="001D73AE"/>
    <w:rsid w:val="001D758E"/>
    <w:rsid w:val="001E06F3"/>
    <w:rsid w:val="001E0870"/>
    <w:rsid w:val="001E0EF9"/>
    <w:rsid w:val="001E130A"/>
    <w:rsid w:val="001E13D9"/>
    <w:rsid w:val="001E13DE"/>
    <w:rsid w:val="001E1AAB"/>
    <w:rsid w:val="001E1FE1"/>
    <w:rsid w:val="001E221A"/>
    <w:rsid w:val="001E2C3C"/>
    <w:rsid w:val="001E3041"/>
    <w:rsid w:val="001E331B"/>
    <w:rsid w:val="001E390B"/>
    <w:rsid w:val="001E40E6"/>
    <w:rsid w:val="001E4277"/>
    <w:rsid w:val="001E4671"/>
    <w:rsid w:val="001E4B95"/>
    <w:rsid w:val="001E4C34"/>
    <w:rsid w:val="001E4D39"/>
    <w:rsid w:val="001E4E3D"/>
    <w:rsid w:val="001E5588"/>
    <w:rsid w:val="001E599B"/>
    <w:rsid w:val="001E5D28"/>
    <w:rsid w:val="001E62DA"/>
    <w:rsid w:val="001E7182"/>
    <w:rsid w:val="001E71BF"/>
    <w:rsid w:val="001E7E64"/>
    <w:rsid w:val="001F07B8"/>
    <w:rsid w:val="001F0FAB"/>
    <w:rsid w:val="001F135F"/>
    <w:rsid w:val="001F144F"/>
    <w:rsid w:val="001F194A"/>
    <w:rsid w:val="001F1968"/>
    <w:rsid w:val="001F1AB6"/>
    <w:rsid w:val="001F1BB6"/>
    <w:rsid w:val="001F2354"/>
    <w:rsid w:val="001F25FC"/>
    <w:rsid w:val="001F2638"/>
    <w:rsid w:val="001F265E"/>
    <w:rsid w:val="001F2E5B"/>
    <w:rsid w:val="001F3125"/>
    <w:rsid w:val="001F3668"/>
    <w:rsid w:val="001F3B9A"/>
    <w:rsid w:val="001F3D1E"/>
    <w:rsid w:val="001F43AE"/>
    <w:rsid w:val="001F488D"/>
    <w:rsid w:val="001F4E44"/>
    <w:rsid w:val="001F5147"/>
    <w:rsid w:val="001F5A10"/>
    <w:rsid w:val="001F66A7"/>
    <w:rsid w:val="001F67A2"/>
    <w:rsid w:val="001F7025"/>
    <w:rsid w:val="001F7159"/>
    <w:rsid w:val="001F71DC"/>
    <w:rsid w:val="001F7309"/>
    <w:rsid w:val="001F742E"/>
    <w:rsid w:val="001F795A"/>
    <w:rsid w:val="001F7E01"/>
    <w:rsid w:val="00200036"/>
    <w:rsid w:val="00200099"/>
    <w:rsid w:val="0020052E"/>
    <w:rsid w:val="002005A3"/>
    <w:rsid w:val="002005AD"/>
    <w:rsid w:val="002006B9"/>
    <w:rsid w:val="002010C5"/>
    <w:rsid w:val="0020110D"/>
    <w:rsid w:val="00201159"/>
    <w:rsid w:val="0020176B"/>
    <w:rsid w:val="002018EA"/>
    <w:rsid w:val="00201941"/>
    <w:rsid w:val="0020195F"/>
    <w:rsid w:val="002019BE"/>
    <w:rsid w:val="002019FF"/>
    <w:rsid w:val="00201C51"/>
    <w:rsid w:val="00201CD8"/>
    <w:rsid w:val="0020227E"/>
    <w:rsid w:val="00203326"/>
    <w:rsid w:val="00203672"/>
    <w:rsid w:val="00203ADF"/>
    <w:rsid w:val="00203C5B"/>
    <w:rsid w:val="002043B3"/>
    <w:rsid w:val="00204580"/>
    <w:rsid w:val="002049C5"/>
    <w:rsid w:val="00205055"/>
    <w:rsid w:val="00205BCA"/>
    <w:rsid w:val="0020607F"/>
    <w:rsid w:val="00206722"/>
    <w:rsid w:val="00206BA3"/>
    <w:rsid w:val="00206DBE"/>
    <w:rsid w:val="0020712A"/>
    <w:rsid w:val="002072B5"/>
    <w:rsid w:val="00207811"/>
    <w:rsid w:val="00210490"/>
    <w:rsid w:val="00210821"/>
    <w:rsid w:val="00210ABD"/>
    <w:rsid w:val="00210CD5"/>
    <w:rsid w:val="00211AE8"/>
    <w:rsid w:val="002121D2"/>
    <w:rsid w:val="0021268B"/>
    <w:rsid w:val="002131CF"/>
    <w:rsid w:val="002131FE"/>
    <w:rsid w:val="00213435"/>
    <w:rsid w:val="00213F42"/>
    <w:rsid w:val="0021423B"/>
    <w:rsid w:val="002147BD"/>
    <w:rsid w:val="00214947"/>
    <w:rsid w:val="00215937"/>
    <w:rsid w:val="002159F6"/>
    <w:rsid w:val="0021611E"/>
    <w:rsid w:val="00216846"/>
    <w:rsid w:val="0021699A"/>
    <w:rsid w:val="00216CDE"/>
    <w:rsid w:val="00216D1A"/>
    <w:rsid w:val="00216E57"/>
    <w:rsid w:val="00216FC2"/>
    <w:rsid w:val="002171B6"/>
    <w:rsid w:val="0021724C"/>
    <w:rsid w:val="002174ED"/>
    <w:rsid w:val="00217A54"/>
    <w:rsid w:val="00217C88"/>
    <w:rsid w:val="00217D1E"/>
    <w:rsid w:val="00220281"/>
    <w:rsid w:val="0022065E"/>
    <w:rsid w:val="002207A9"/>
    <w:rsid w:val="00220900"/>
    <w:rsid w:val="002212A3"/>
    <w:rsid w:val="00221DB6"/>
    <w:rsid w:val="00222047"/>
    <w:rsid w:val="00222182"/>
    <w:rsid w:val="00222586"/>
    <w:rsid w:val="00222AA5"/>
    <w:rsid w:val="0022319A"/>
    <w:rsid w:val="00223887"/>
    <w:rsid w:val="002240B7"/>
    <w:rsid w:val="00224D47"/>
    <w:rsid w:val="00224EFE"/>
    <w:rsid w:val="00225339"/>
    <w:rsid w:val="0022594D"/>
    <w:rsid w:val="00225A9A"/>
    <w:rsid w:val="00225C31"/>
    <w:rsid w:val="002260FB"/>
    <w:rsid w:val="00227028"/>
    <w:rsid w:val="00227041"/>
    <w:rsid w:val="002272A3"/>
    <w:rsid w:val="0022750D"/>
    <w:rsid w:val="002302B8"/>
    <w:rsid w:val="00230328"/>
    <w:rsid w:val="002303FC"/>
    <w:rsid w:val="0023095F"/>
    <w:rsid w:val="00230F64"/>
    <w:rsid w:val="00230F8E"/>
    <w:rsid w:val="002316AF"/>
    <w:rsid w:val="0023226A"/>
    <w:rsid w:val="00232937"/>
    <w:rsid w:val="00233216"/>
    <w:rsid w:val="0023357F"/>
    <w:rsid w:val="002338A1"/>
    <w:rsid w:val="002338DE"/>
    <w:rsid w:val="00234118"/>
    <w:rsid w:val="00234332"/>
    <w:rsid w:val="0023437E"/>
    <w:rsid w:val="00235297"/>
    <w:rsid w:val="002352FA"/>
    <w:rsid w:val="0023542F"/>
    <w:rsid w:val="00235A61"/>
    <w:rsid w:val="00235C4F"/>
    <w:rsid w:val="00236A70"/>
    <w:rsid w:val="0023749B"/>
    <w:rsid w:val="002375A0"/>
    <w:rsid w:val="00237978"/>
    <w:rsid w:val="002400B8"/>
    <w:rsid w:val="00240382"/>
    <w:rsid w:val="00240BCF"/>
    <w:rsid w:val="002410AF"/>
    <w:rsid w:val="00241428"/>
    <w:rsid w:val="00241496"/>
    <w:rsid w:val="002415CC"/>
    <w:rsid w:val="00241721"/>
    <w:rsid w:val="00241AC2"/>
    <w:rsid w:val="00241DF5"/>
    <w:rsid w:val="00242D1F"/>
    <w:rsid w:val="00242F33"/>
    <w:rsid w:val="00243641"/>
    <w:rsid w:val="00243DA8"/>
    <w:rsid w:val="0024408C"/>
    <w:rsid w:val="002440D9"/>
    <w:rsid w:val="00244A1B"/>
    <w:rsid w:val="002451BB"/>
    <w:rsid w:val="002453DC"/>
    <w:rsid w:val="002455E0"/>
    <w:rsid w:val="002455E8"/>
    <w:rsid w:val="002457E2"/>
    <w:rsid w:val="00245D53"/>
    <w:rsid w:val="00245F2A"/>
    <w:rsid w:val="00246818"/>
    <w:rsid w:val="00246F23"/>
    <w:rsid w:val="002470D4"/>
    <w:rsid w:val="002471A8"/>
    <w:rsid w:val="00247865"/>
    <w:rsid w:val="00247EFA"/>
    <w:rsid w:val="00250228"/>
    <w:rsid w:val="002505AC"/>
    <w:rsid w:val="002509DF"/>
    <w:rsid w:val="00250EA9"/>
    <w:rsid w:val="00250FD6"/>
    <w:rsid w:val="0025123E"/>
    <w:rsid w:val="0025138D"/>
    <w:rsid w:val="0025146C"/>
    <w:rsid w:val="00251A72"/>
    <w:rsid w:val="00251F21"/>
    <w:rsid w:val="00252321"/>
    <w:rsid w:val="00252357"/>
    <w:rsid w:val="00252883"/>
    <w:rsid w:val="002528E3"/>
    <w:rsid w:val="00252A0E"/>
    <w:rsid w:val="00252AFC"/>
    <w:rsid w:val="00252B1C"/>
    <w:rsid w:val="00253322"/>
    <w:rsid w:val="00253436"/>
    <w:rsid w:val="00253456"/>
    <w:rsid w:val="00253C9B"/>
    <w:rsid w:val="00253CD8"/>
    <w:rsid w:val="0025508B"/>
    <w:rsid w:val="002551BA"/>
    <w:rsid w:val="00255FBE"/>
    <w:rsid w:val="002566E6"/>
    <w:rsid w:val="002569AC"/>
    <w:rsid w:val="002575D9"/>
    <w:rsid w:val="00260DF8"/>
    <w:rsid w:val="0026147D"/>
    <w:rsid w:val="00261640"/>
    <w:rsid w:val="00261B47"/>
    <w:rsid w:val="00261BEE"/>
    <w:rsid w:val="00261DEB"/>
    <w:rsid w:val="002623AC"/>
    <w:rsid w:val="002628E1"/>
    <w:rsid w:val="00262E84"/>
    <w:rsid w:val="002630A4"/>
    <w:rsid w:val="002634CC"/>
    <w:rsid w:val="00263E10"/>
    <w:rsid w:val="00263E7C"/>
    <w:rsid w:val="00264074"/>
    <w:rsid w:val="002645AE"/>
    <w:rsid w:val="00264727"/>
    <w:rsid w:val="002647BF"/>
    <w:rsid w:val="00264A75"/>
    <w:rsid w:val="00264DDD"/>
    <w:rsid w:val="00264E6D"/>
    <w:rsid w:val="00266132"/>
    <w:rsid w:val="0026632E"/>
    <w:rsid w:val="002663D9"/>
    <w:rsid w:val="002665F4"/>
    <w:rsid w:val="00266606"/>
    <w:rsid w:val="002666B9"/>
    <w:rsid w:val="00267193"/>
    <w:rsid w:val="00267786"/>
    <w:rsid w:val="00267974"/>
    <w:rsid w:val="0026799E"/>
    <w:rsid w:val="002700BC"/>
    <w:rsid w:val="002706F9"/>
    <w:rsid w:val="002707C8"/>
    <w:rsid w:val="002710C2"/>
    <w:rsid w:val="00271377"/>
    <w:rsid w:val="00271558"/>
    <w:rsid w:val="00271ADE"/>
    <w:rsid w:val="00272ED5"/>
    <w:rsid w:val="00272F45"/>
    <w:rsid w:val="00273108"/>
    <w:rsid w:val="00273363"/>
    <w:rsid w:val="002736D5"/>
    <w:rsid w:val="0027445C"/>
    <w:rsid w:val="0027513B"/>
    <w:rsid w:val="00275731"/>
    <w:rsid w:val="00275794"/>
    <w:rsid w:val="00275E1B"/>
    <w:rsid w:val="00275E3C"/>
    <w:rsid w:val="002760BC"/>
    <w:rsid w:val="0027627E"/>
    <w:rsid w:val="00276BE8"/>
    <w:rsid w:val="00276CEB"/>
    <w:rsid w:val="0027790A"/>
    <w:rsid w:val="0028022D"/>
    <w:rsid w:val="002808AA"/>
    <w:rsid w:val="002809B2"/>
    <w:rsid w:val="002809E9"/>
    <w:rsid w:val="00280D80"/>
    <w:rsid w:val="002813A3"/>
    <w:rsid w:val="002813C1"/>
    <w:rsid w:val="002819CA"/>
    <w:rsid w:val="00281A49"/>
    <w:rsid w:val="0028215F"/>
    <w:rsid w:val="00282253"/>
    <w:rsid w:val="002824AC"/>
    <w:rsid w:val="0028273D"/>
    <w:rsid w:val="0028289F"/>
    <w:rsid w:val="00282A41"/>
    <w:rsid w:val="00282CA6"/>
    <w:rsid w:val="0028329E"/>
    <w:rsid w:val="0028395D"/>
    <w:rsid w:val="0028426F"/>
    <w:rsid w:val="00284D8C"/>
    <w:rsid w:val="00284EDF"/>
    <w:rsid w:val="00284EEB"/>
    <w:rsid w:val="0028502D"/>
    <w:rsid w:val="0028513C"/>
    <w:rsid w:val="002851AE"/>
    <w:rsid w:val="00285D52"/>
    <w:rsid w:val="00286016"/>
    <w:rsid w:val="002860D8"/>
    <w:rsid w:val="002863BF"/>
    <w:rsid w:val="00286939"/>
    <w:rsid w:val="00286B2D"/>
    <w:rsid w:val="00286D97"/>
    <w:rsid w:val="0028717E"/>
    <w:rsid w:val="00287315"/>
    <w:rsid w:val="0028734C"/>
    <w:rsid w:val="002877F0"/>
    <w:rsid w:val="0029018F"/>
    <w:rsid w:val="0029071C"/>
    <w:rsid w:val="0029099A"/>
    <w:rsid w:val="0029111B"/>
    <w:rsid w:val="00291993"/>
    <w:rsid w:val="00292383"/>
    <w:rsid w:val="00292BAC"/>
    <w:rsid w:val="00292CFB"/>
    <w:rsid w:val="00292F02"/>
    <w:rsid w:val="00293196"/>
    <w:rsid w:val="002939FA"/>
    <w:rsid w:val="002948C9"/>
    <w:rsid w:val="00294990"/>
    <w:rsid w:val="00294A65"/>
    <w:rsid w:val="00294F15"/>
    <w:rsid w:val="00295600"/>
    <w:rsid w:val="00295BC2"/>
    <w:rsid w:val="002968B3"/>
    <w:rsid w:val="002968F0"/>
    <w:rsid w:val="00296DF9"/>
    <w:rsid w:val="00296E13"/>
    <w:rsid w:val="00296FB9"/>
    <w:rsid w:val="00297B84"/>
    <w:rsid w:val="00297EA1"/>
    <w:rsid w:val="002A01D5"/>
    <w:rsid w:val="002A052B"/>
    <w:rsid w:val="002A0610"/>
    <w:rsid w:val="002A06CC"/>
    <w:rsid w:val="002A0AB8"/>
    <w:rsid w:val="002A0BCF"/>
    <w:rsid w:val="002A0E66"/>
    <w:rsid w:val="002A1666"/>
    <w:rsid w:val="002A1982"/>
    <w:rsid w:val="002A26FE"/>
    <w:rsid w:val="002A3AA8"/>
    <w:rsid w:val="002A4680"/>
    <w:rsid w:val="002A5BBD"/>
    <w:rsid w:val="002A5E45"/>
    <w:rsid w:val="002A60BD"/>
    <w:rsid w:val="002A6112"/>
    <w:rsid w:val="002A6968"/>
    <w:rsid w:val="002A6C69"/>
    <w:rsid w:val="002B07C9"/>
    <w:rsid w:val="002B0811"/>
    <w:rsid w:val="002B092D"/>
    <w:rsid w:val="002B0AEE"/>
    <w:rsid w:val="002B209D"/>
    <w:rsid w:val="002B2273"/>
    <w:rsid w:val="002B2594"/>
    <w:rsid w:val="002B2A4F"/>
    <w:rsid w:val="002B2AFD"/>
    <w:rsid w:val="002B2B84"/>
    <w:rsid w:val="002B2D17"/>
    <w:rsid w:val="002B316B"/>
    <w:rsid w:val="002B4EDF"/>
    <w:rsid w:val="002B4F4E"/>
    <w:rsid w:val="002B5BDD"/>
    <w:rsid w:val="002B5C31"/>
    <w:rsid w:val="002B5F1D"/>
    <w:rsid w:val="002B6246"/>
    <w:rsid w:val="002B6254"/>
    <w:rsid w:val="002B650E"/>
    <w:rsid w:val="002B69F7"/>
    <w:rsid w:val="002B6CF8"/>
    <w:rsid w:val="002B716A"/>
    <w:rsid w:val="002B75BA"/>
    <w:rsid w:val="002B762F"/>
    <w:rsid w:val="002B7650"/>
    <w:rsid w:val="002B7857"/>
    <w:rsid w:val="002B7931"/>
    <w:rsid w:val="002B7AC2"/>
    <w:rsid w:val="002C0250"/>
    <w:rsid w:val="002C0AB6"/>
    <w:rsid w:val="002C0E86"/>
    <w:rsid w:val="002C0FC5"/>
    <w:rsid w:val="002C1946"/>
    <w:rsid w:val="002C1DC7"/>
    <w:rsid w:val="002C2027"/>
    <w:rsid w:val="002C2A89"/>
    <w:rsid w:val="002C33C1"/>
    <w:rsid w:val="002C3498"/>
    <w:rsid w:val="002C354E"/>
    <w:rsid w:val="002C3671"/>
    <w:rsid w:val="002C3755"/>
    <w:rsid w:val="002C43F6"/>
    <w:rsid w:val="002C4AFB"/>
    <w:rsid w:val="002C53CC"/>
    <w:rsid w:val="002C54CB"/>
    <w:rsid w:val="002C5875"/>
    <w:rsid w:val="002C5A51"/>
    <w:rsid w:val="002C64A2"/>
    <w:rsid w:val="002C66E8"/>
    <w:rsid w:val="002C76BD"/>
    <w:rsid w:val="002C7FB8"/>
    <w:rsid w:val="002D02BD"/>
    <w:rsid w:val="002D03CF"/>
    <w:rsid w:val="002D05A5"/>
    <w:rsid w:val="002D0BE6"/>
    <w:rsid w:val="002D1182"/>
    <w:rsid w:val="002D1469"/>
    <w:rsid w:val="002D1632"/>
    <w:rsid w:val="002D1930"/>
    <w:rsid w:val="002D1DB8"/>
    <w:rsid w:val="002D1E9B"/>
    <w:rsid w:val="002D277A"/>
    <w:rsid w:val="002D32C9"/>
    <w:rsid w:val="002D3612"/>
    <w:rsid w:val="002D4191"/>
    <w:rsid w:val="002D4A52"/>
    <w:rsid w:val="002D4A5A"/>
    <w:rsid w:val="002D4AEA"/>
    <w:rsid w:val="002D5151"/>
    <w:rsid w:val="002D5DEA"/>
    <w:rsid w:val="002D5E21"/>
    <w:rsid w:val="002D655D"/>
    <w:rsid w:val="002D72BD"/>
    <w:rsid w:val="002D7A60"/>
    <w:rsid w:val="002D7AF6"/>
    <w:rsid w:val="002E0416"/>
    <w:rsid w:val="002E0465"/>
    <w:rsid w:val="002E057D"/>
    <w:rsid w:val="002E0A4A"/>
    <w:rsid w:val="002E1015"/>
    <w:rsid w:val="002E109C"/>
    <w:rsid w:val="002E1401"/>
    <w:rsid w:val="002E1903"/>
    <w:rsid w:val="002E19AD"/>
    <w:rsid w:val="002E1E22"/>
    <w:rsid w:val="002E2176"/>
    <w:rsid w:val="002E2221"/>
    <w:rsid w:val="002E2298"/>
    <w:rsid w:val="002E2437"/>
    <w:rsid w:val="002E2464"/>
    <w:rsid w:val="002E30D7"/>
    <w:rsid w:val="002E350E"/>
    <w:rsid w:val="002E3916"/>
    <w:rsid w:val="002E3C2D"/>
    <w:rsid w:val="002E3EC2"/>
    <w:rsid w:val="002E3F7A"/>
    <w:rsid w:val="002E4264"/>
    <w:rsid w:val="002E46A5"/>
    <w:rsid w:val="002E47AC"/>
    <w:rsid w:val="002E48EE"/>
    <w:rsid w:val="002E4B2F"/>
    <w:rsid w:val="002E5775"/>
    <w:rsid w:val="002E5F7F"/>
    <w:rsid w:val="002E64F5"/>
    <w:rsid w:val="002E652B"/>
    <w:rsid w:val="002E6D39"/>
    <w:rsid w:val="002E7051"/>
    <w:rsid w:val="002E7729"/>
    <w:rsid w:val="002E7740"/>
    <w:rsid w:val="002E7C22"/>
    <w:rsid w:val="002F0480"/>
    <w:rsid w:val="002F07A8"/>
    <w:rsid w:val="002F1057"/>
    <w:rsid w:val="002F1822"/>
    <w:rsid w:val="002F1A09"/>
    <w:rsid w:val="002F1C5F"/>
    <w:rsid w:val="002F2932"/>
    <w:rsid w:val="002F2FB3"/>
    <w:rsid w:val="002F305C"/>
    <w:rsid w:val="002F347E"/>
    <w:rsid w:val="002F3C77"/>
    <w:rsid w:val="002F3D03"/>
    <w:rsid w:val="002F4C3B"/>
    <w:rsid w:val="002F4F4A"/>
    <w:rsid w:val="002F53F1"/>
    <w:rsid w:val="002F5792"/>
    <w:rsid w:val="002F5E00"/>
    <w:rsid w:val="002F618C"/>
    <w:rsid w:val="002F6611"/>
    <w:rsid w:val="002F681E"/>
    <w:rsid w:val="002F6936"/>
    <w:rsid w:val="002F6BD4"/>
    <w:rsid w:val="002F6C0C"/>
    <w:rsid w:val="002F6D59"/>
    <w:rsid w:val="002F6E28"/>
    <w:rsid w:val="002F7F6F"/>
    <w:rsid w:val="003000C2"/>
    <w:rsid w:val="003001FC"/>
    <w:rsid w:val="003007BE"/>
    <w:rsid w:val="003009C9"/>
    <w:rsid w:val="00300A50"/>
    <w:rsid w:val="00300F2D"/>
    <w:rsid w:val="00301F9F"/>
    <w:rsid w:val="00302462"/>
    <w:rsid w:val="00302603"/>
    <w:rsid w:val="00302799"/>
    <w:rsid w:val="00302EF9"/>
    <w:rsid w:val="00303418"/>
    <w:rsid w:val="00303787"/>
    <w:rsid w:val="003038E6"/>
    <w:rsid w:val="00303B1F"/>
    <w:rsid w:val="00304483"/>
    <w:rsid w:val="003044D2"/>
    <w:rsid w:val="00304996"/>
    <w:rsid w:val="00304B36"/>
    <w:rsid w:val="00304DA3"/>
    <w:rsid w:val="0030562D"/>
    <w:rsid w:val="00305645"/>
    <w:rsid w:val="00305FA4"/>
    <w:rsid w:val="00306716"/>
    <w:rsid w:val="0030676A"/>
    <w:rsid w:val="00306802"/>
    <w:rsid w:val="00307581"/>
    <w:rsid w:val="0030772A"/>
    <w:rsid w:val="00307D21"/>
    <w:rsid w:val="00310612"/>
    <w:rsid w:val="0031062A"/>
    <w:rsid w:val="003109BC"/>
    <w:rsid w:val="00310F0E"/>
    <w:rsid w:val="00311363"/>
    <w:rsid w:val="0031152E"/>
    <w:rsid w:val="003117E3"/>
    <w:rsid w:val="00311D47"/>
    <w:rsid w:val="00311ED5"/>
    <w:rsid w:val="00312188"/>
    <w:rsid w:val="00312323"/>
    <w:rsid w:val="00312585"/>
    <w:rsid w:val="003126A5"/>
    <w:rsid w:val="003126EA"/>
    <w:rsid w:val="00313249"/>
    <w:rsid w:val="00313E10"/>
    <w:rsid w:val="00313EDC"/>
    <w:rsid w:val="00314383"/>
    <w:rsid w:val="003143B8"/>
    <w:rsid w:val="00314634"/>
    <w:rsid w:val="00314806"/>
    <w:rsid w:val="00314AB0"/>
    <w:rsid w:val="0031577B"/>
    <w:rsid w:val="003158EF"/>
    <w:rsid w:val="00316717"/>
    <w:rsid w:val="00316DC8"/>
    <w:rsid w:val="0031721F"/>
    <w:rsid w:val="00317A17"/>
    <w:rsid w:val="00320553"/>
    <w:rsid w:val="0032077E"/>
    <w:rsid w:val="00320840"/>
    <w:rsid w:val="00320DA0"/>
    <w:rsid w:val="003214C5"/>
    <w:rsid w:val="0032156A"/>
    <w:rsid w:val="0032176C"/>
    <w:rsid w:val="00321B3B"/>
    <w:rsid w:val="0032216F"/>
    <w:rsid w:val="0032255F"/>
    <w:rsid w:val="003227AE"/>
    <w:rsid w:val="00322CC5"/>
    <w:rsid w:val="00323314"/>
    <w:rsid w:val="00323933"/>
    <w:rsid w:val="00323E4D"/>
    <w:rsid w:val="003241D8"/>
    <w:rsid w:val="00324705"/>
    <w:rsid w:val="00324F52"/>
    <w:rsid w:val="00324F54"/>
    <w:rsid w:val="0032588B"/>
    <w:rsid w:val="0032598F"/>
    <w:rsid w:val="00325C52"/>
    <w:rsid w:val="00325EC5"/>
    <w:rsid w:val="003261F5"/>
    <w:rsid w:val="00326351"/>
    <w:rsid w:val="00326E3A"/>
    <w:rsid w:val="00327EE2"/>
    <w:rsid w:val="00327FA6"/>
    <w:rsid w:val="00330C82"/>
    <w:rsid w:val="003311EF"/>
    <w:rsid w:val="0033184E"/>
    <w:rsid w:val="003319E8"/>
    <w:rsid w:val="00331A35"/>
    <w:rsid w:val="00331C19"/>
    <w:rsid w:val="00331C73"/>
    <w:rsid w:val="0033201C"/>
    <w:rsid w:val="00332771"/>
    <w:rsid w:val="00332B04"/>
    <w:rsid w:val="00332E4E"/>
    <w:rsid w:val="00333574"/>
    <w:rsid w:val="00333809"/>
    <w:rsid w:val="00333816"/>
    <w:rsid w:val="003338F1"/>
    <w:rsid w:val="00333A07"/>
    <w:rsid w:val="00333F4D"/>
    <w:rsid w:val="00334008"/>
    <w:rsid w:val="003350CA"/>
    <w:rsid w:val="0033522F"/>
    <w:rsid w:val="003359FE"/>
    <w:rsid w:val="00335AE0"/>
    <w:rsid w:val="00335BDB"/>
    <w:rsid w:val="00336604"/>
    <w:rsid w:val="00336927"/>
    <w:rsid w:val="00336EDF"/>
    <w:rsid w:val="0033743E"/>
    <w:rsid w:val="00337496"/>
    <w:rsid w:val="003375C1"/>
    <w:rsid w:val="0034043A"/>
    <w:rsid w:val="00340726"/>
    <w:rsid w:val="00340785"/>
    <w:rsid w:val="00340BFE"/>
    <w:rsid w:val="00340E13"/>
    <w:rsid w:val="00341058"/>
    <w:rsid w:val="00341B50"/>
    <w:rsid w:val="003423A4"/>
    <w:rsid w:val="00342CC7"/>
    <w:rsid w:val="0034386E"/>
    <w:rsid w:val="00343934"/>
    <w:rsid w:val="00343A1D"/>
    <w:rsid w:val="00343A8A"/>
    <w:rsid w:val="00343F0F"/>
    <w:rsid w:val="00344278"/>
    <w:rsid w:val="003442AD"/>
    <w:rsid w:val="00344C7C"/>
    <w:rsid w:val="003455A3"/>
    <w:rsid w:val="00345CB1"/>
    <w:rsid w:val="003465C8"/>
    <w:rsid w:val="003466CC"/>
    <w:rsid w:val="00346705"/>
    <w:rsid w:val="00347243"/>
    <w:rsid w:val="00347377"/>
    <w:rsid w:val="0034753C"/>
    <w:rsid w:val="003500A5"/>
    <w:rsid w:val="00350667"/>
    <w:rsid w:val="0035070F"/>
    <w:rsid w:val="003512CC"/>
    <w:rsid w:val="00351EDC"/>
    <w:rsid w:val="00352045"/>
    <w:rsid w:val="00352071"/>
    <w:rsid w:val="00352C6C"/>
    <w:rsid w:val="00352D70"/>
    <w:rsid w:val="00353B7E"/>
    <w:rsid w:val="00353F26"/>
    <w:rsid w:val="003541D8"/>
    <w:rsid w:val="00354481"/>
    <w:rsid w:val="0035458C"/>
    <w:rsid w:val="00354782"/>
    <w:rsid w:val="003548CB"/>
    <w:rsid w:val="00354923"/>
    <w:rsid w:val="00355113"/>
    <w:rsid w:val="00355234"/>
    <w:rsid w:val="003554AC"/>
    <w:rsid w:val="00355C36"/>
    <w:rsid w:val="00356F7F"/>
    <w:rsid w:val="003573B4"/>
    <w:rsid w:val="00357B90"/>
    <w:rsid w:val="00357F5B"/>
    <w:rsid w:val="003602DE"/>
    <w:rsid w:val="003605B6"/>
    <w:rsid w:val="00361010"/>
    <w:rsid w:val="003612E9"/>
    <w:rsid w:val="0036217B"/>
    <w:rsid w:val="00362350"/>
    <w:rsid w:val="00362357"/>
    <w:rsid w:val="00362475"/>
    <w:rsid w:val="003624FC"/>
    <w:rsid w:val="00362508"/>
    <w:rsid w:val="00362CC3"/>
    <w:rsid w:val="003634DA"/>
    <w:rsid w:val="0036359B"/>
    <w:rsid w:val="003635F0"/>
    <w:rsid w:val="00363B4C"/>
    <w:rsid w:val="00364296"/>
    <w:rsid w:val="00364844"/>
    <w:rsid w:val="00364B13"/>
    <w:rsid w:val="00364C17"/>
    <w:rsid w:val="0036526D"/>
    <w:rsid w:val="00365DDD"/>
    <w:rsid w:val="00365DF5"/>
    <w:rsid w:val="00366786"/>
    <w:rsid w:val="00366C94"/>
    <w:rsid w:val="00366E5D"/>
    <w:rsid w:val="00366F3F"/>
    <w:rsid w:val="00367005"/>
    <w:rsid w:val="00367118"/>
    <w:rsid w:val="003673A2"/>
    <w:rsid w:val="00370528"/>
    <w:rsid w:val="00370859"/>
    <w:rsid w:val="0037183F"/>
    <w:rsid w:val="00371944"/>
    <w:rsid w:val="00371AEC"/>
    <w:rsid w:val="0037237D"/>
    <w:rsid w:val="00372693"/>
    <w:rsid w:val="003733A3"/>
    <w:rsid w:val="00373407"/>
    <w:rsid w:val="003743AA"/>
    <w:rsid w:val="00374654"/>
    <w:rsid w:val="00374852"/>
    <w:rsid w:val="00374C59"/>
    <w:rsid w:val="00374E30"/>
    <w:rsid w:val="003754BA"/>
    <w:rsid w:val="00375624"/>
    <w:rsid w:val="0037584B"/>
    <w:rsid w:val="003759A1"/>
    <w:rsid w:val="00375BE9"/>
    <w:rsid w:val="00375D21"/>
    <w:rsid w:val="00375EF5"/>
    <w:rsid w:val="003761C4"/>
    <w:rsid w:val="003766BD"/>
    <w:rsid w:val="0037674D"/>
    <w:rsid w:val="00376852"/>
    <w:rsid w:val="00376E3F"/>
    <w:rsid w:val="00376EE6"/>
    <w:rsid w:val="00377705"/>
    <w:rsid w:val="00377A1F"/>
    <w:rsid w:val="0038019E"/>
    <w:rsid w:val="00380981"/>
    <w:rsid w:val="003813F7"/>
    <w:rsid w:val="00381684"/>
    <w:rsid w:val="003824AD"/>
    <w:rsid w:val="00382989"/>
    <w:rsid w:val="00382B21"/>
    <w:rsid w:val="00382B46"/>
    <w:rsid w:val="00382C9E"/>
    <w:rsid w:val="003830D3"/>
    <w:rsid w:val="003831D5"/>
    <w:rsid w:val="00383208"/>
    <w:rsid w:val="003838A1"/>
    <w:rsid w:val="00383E04"/>
    <w:rsid w:val="003851C7"/>
    <w:rsid w:val="00385368"/>
    <w:rsid w:val="0038658E"/>
    <w:rsid w:val="00386BFA"/>
    <w:rsid w:val="00386DDA"/>
    <w:rsid w:val="00387A2B"/>
    <w:rsid w:val="00390300"/>
    <w:rsid w:val="00390510"/>
    <w:rsid w:val="0039062D"/>
    <w:rsid w:val="00390916"/>
    <w:rsid w:val="00390BB4"/>
    <w:rsid w:val="003911A5"/>
    <w:rsid w:val="003913A1"/>
    <w:rsid w:val="00391750"/>
    <w:rsid w:val="003920EF"/>
    <w:rsid w:val="00392346"/>
    <w:rsid w:val="003929E6"/>
    <w:rsid w:val="00392BBE"/>
    <w:rsid w:val="00393787"/>
    <w:rsid w:val="00393D7D"/>
    <w:rsid w:val="00393F94"/>
    <w:rsid w:val="00394899"/>
    <w:rsid w:val="0039515E"/>
    <w:rsid w:val="0039545B"/>
    <w:rsid w:val="00395462"/>
    <w:rsid w:val="0039579C"/>
    <w:rsid w:val="00395898"/>
    <w:rsid w:val="00395AB7"/>
    <w:rsid w:val="00395C0B"/>
    <w:rsid w:val="00395D14"/>
    <w:rsid w:val="0039614C"/>
    <w:rsid w:val="00396168"/>
    <w:rsid w:val="00396614"/>
    <w:rsid w:val="003966A4"/>
    <w:rsid w:val="00396E32"/>
    <w:rsid w:val="00396F2A"/>
    <w:rsid w:val="00396FC2"/>
    <w:rsid w:val="00397030"/>
    <w:rsid w:val="00397107"/>
    <w:rsid w:val="00397206"/>
    <w:rsid w:val="00397230"/>
    <w:rsid w:val="00397A1D"/>
    <w:rsid w:val="00397CEC"/>
    <w:rsid w:val="00397F09"/>
    <w:rsid w:val="003A02BE"/>
    <w:rsid w:val="003A0357"/>
    <w:rsid w:val="003A08F6"/>
    <w:rsid w:val="003A140D"/>
    <w:rsid w:val="003A14EF"/>
    <w:rsid w:val="003A17BD"/>
    <w:rsid w:val="003A19AB"/>
    <w:rsid w:val="003A1DF7"/>
    <w:rsid w:val="003A2A84"/>
    <w:rsid w:val="003A2B85"/>
    <w:rsid w:val="003A2C48"/>
    <w:rsid w:val="003A3942"/>
    <w:rsid w:val="003A3AEC"/>
    <w:rsid w:val="003A41E2"/>
    <w:rsid w:val="003A467D"/>
    <w:rsid w:val="003A4763"/>
    <w:rsid w:val="003A57D6"/>
    <w:rsid w:val="003A5918"/>
    <w:rsid w:val="003A63A8"/>
    <w:rsid w:val="003A6C1D"/>
    <w:rsid w:val="003A75FE"/>
    <w:rsid w:val="003A78F3"/>
    <w:rsid w:val="003A7E35"/>
    <w:rsid w:val="003B0400"/>
    <w:rsid w:val="003B157E"/>
    <w:rsid w:val="003B20FE"/>
    <w:rsid w:val="003B2441"/>
    <w:rsid w:val="003B25FA"/>
    <w:rsid w:val="003B270F"/>
    <w:rsid w:val="003B2B5C"/>
    <w:rsid w:val="003B2F87"/>
    <w:rsid w:val="003B3287"/>
    <w:rsid w:val="003B3973"/>
    <w:rsid w:val="003B3BE5"/>
    <w:rsid w:val="003B4217"/>
    <w:rsid w:val="003B473B"/>
    <w:rsid w:val="003B4D0B"/>
    <w:rsid w:val="003B53AC"/>
    <w:rsid w:val="003B560F"/>
    <w:rsid w:val="003B5FF2"/>
    <w:rsid w:val="003B6399"/>
    <w:rsid w:val="003B671B"/>
    <w:rsid w:val="003B7002"/>
    <w:rsid w:val="003B729A"/>
    <w:rsid w:val="003B740C"/>
    <w:rsid w:val="003B79DC"/>
    <w:rsid w:val="003B7A54"/>
    <w:rsid w:val="003C0D6A"/>
    <w:rsid w:val="003C0D7B"/>
    <w:rsid w:val="003C0FB9"/>
    <w:rsid w:val="003C13F7"/>
    <w:rsid w:val="003C168C"/>
    <w:rsid w:val="003C209A"/>
    <w:rsid w:val="003C20E0"/>
    <w:rsid w:val="003C22A4"/>
    <w:rsid w:val="003C2DD3"/>
    <w:rsid w:val="003C303F"/>
    <w:rsid w:val="003C338B"/>
    <w:rsid w:val="003C37F1"/>
    <w:rsid w:val="003C3951"/>
    <w:rsid w:val="003C3E6F"/>
    <w:rsid w:val="003C4117"/>
    <w:rsid w:val="003C4571"/>
    <w:rsid w:val="003C468B"/>
    <w:rsid w:val="003C4D70"/>
    <w:rsid w:val="003C51D3"/>
    <w:rsid w:val="003C5975"/>
    <w:rsid w:val="003C5B61"/>
    <w:rsid w:val="003C62F4"/>
    <w:rsid w:val="003C64FF"/>
    <w:rsid w:val="003C6C1F"/>
    <w:rsid w:val="003C6CB9"/>
    <w:rsid w:val="003C73FF"/>
    <w:rsid w:val="003C773C"/>
    <w:rsid w:val="003C7A27"/>
    <w:rsid w:val="003D050C"/>
    <w:rsid w:val="003D0804"/>
    <w:rsid w:val="003D0F79"/>
    <w:rsid w:val="003D0F82"/>
    <w:rsid w:val="003D0FCA"/>
    <w:rsid w:val="003D1490"/>
    <w:rsid w:val="003D155B"/>
    <w:rsid w:val="003D1930"/>
    <w:rsid w:val="003D1BE4"/>
    <w:rsid w:val="003D1F3C"/>
    <w:rsid w:val="003D234D"/>
    <w:rsid w:val="003D28F5"/>
    <w:rsid w:val="003D2ABD"/>
    <w:rsid w:val="003D2D1B"/>
    <w:rsid w:val="003D325F"/>
    <w:rsid w:val="003D3511"/>
    <w:rsid w:val="003D3E06"/>
    <w:rsid w:val="003D403A"/>
    <w:rsid w:val="003D413C"/>
    <w:rsid w:val="003D4319"/>
    <w:rsid w:val="003D4587"/>
    <w:rsid w:val="003D48A2"/>
    <w:rsid w:val="003D5A8D"/>
    <w:rsid w:val="003D5F76"/>
    <w:rsid w:val="003D65BF"/>
    <w:rsid w:val="003D6732"/>
    <w:rsid w:val="003D6D91"/>
    <w:rsid w:val="003D7250"/>
    <w:rsid w:val="003D76EE"/>
    <w:rsid w:val="003D7B4C"/>
    <w:rsid w:val="003E0381"/>
    <w:rsid w:val="003E0CA9"/>
    <w:rsid w:val="003E0E2C"/>
    <w:rsid w:val="003E164A"/>
    <w:rsid w:val="003E1A9F"/>
    <w:rsid w:val="003E1EE8"/>
    <w:rsid w:val="003E2AD9"/>
    <w:rsid w:val="003E2DB7"/>
    <w:rsid w:val="003E3101"/>
    <w:rsid w:val="003E32DE"/>
    <w:rsid w:val="003E3472"/>
    <w:rsid w:val="003E3E25"/>
    <w:rsid w:val="003E476E"/>
    <w:rsid w:val="003E4789"/>
    <w:rsid w:val="003E49B2"/>
    <w:rsid w:val="003E4C9D"/>
    <w:rsid w:val="003E54C7"/>
    <w:rsid w:val="003E5859"/>
    <w:rsid w:val="003E65B3"/>
    <w:rsid w:val="003E676B"/>
    <w:rsid w:val="003E68AD"/>
    <w:rsid w:val="003E68AE"/>
    <w:rsid w:val="003E69D1"/>
    <w:rsid w:val="003E6A0B"/>
    <w:rsid w:val="003E788D"/>
    <w:rsid w:val="003E7939"/>
    <w:rsid w:val="003F0A79"/>
    <w:rsid w:val="003F0AE5"/>
    <w:rsid w:val="003F1084"/>
    <w:rsid w:val="003F1414"/>
    <w:rsid w:val="003F1653"/>
    <w:rsid w:val="003F2171"/>
    <w:rsid w:val="003F23E7"/>
    <w:rsid w:val="003F27C8"/>
    <w:rsid w:val="003F28D0"/>
    <w:rsid w:val="003F2ABD"/>
    <w:rsid w:val="003F33E4"/>
    <w:rsid w:val="003F35BF"/>
    <w:rsid w:val="003F400E"/>
    <w:rsid w:val="003F40EE"/>
    <w:rsid w:val="003F4638"/>
    <w:rsid w:val="003F46D5"/>
    <w:rsid w:val="003F5196"/>
    <w:rsid w:val="003F57B2"/>
    <w:rsid w:val="003F5841"/>
    <w:rsid w:val="003F5885"/>
    <w:rsid w:val="003F58C5"/>
    <w:rsid w:val="003F5B5D"/>
    <w:rsid w:val="003F5C24"/>
    <w:rsid w:val="003F66D7"/>
    <w:rsid w:val="003F6C74"/>
    <w:rsid w:val="004007E5"/>
    <w:rsid w:val="0040180C"/>
    <w:rsid w:val="0040274D"/>
    <w:rsid w:val="0040363B"/>
    <w:rsid w:val="0040414E"/>
    <w:rsid w:val="004043BA"/>
    <w:rsid w:val="004045E7"/>
    <w:rsid w:val="00404BAB"/>
    <w:rsid w:val="00404F5A"/>
    <w:rsid w:val="00405247"/>
    <w:rsid w:val="004052A0"/>
    <w:rsid w:val="004056FD"/>
    <w:rsid w:val="00405C8E"/>
    <w:rsid w:val="00406104"/>
    <w:rsid w:val="0040617B"/>
    <w:rsid w:val="00406A74"/>
    <w:rsid w:val="0040700A"/>
    <w:rsid w:val="004075D9"/>
    <w:rsid w:val="00407755"/>
    <w:rsid w:val="004077AD"/>
    <w:rsid w:val="00407A1A"/>
    <w:rsid w:val="0041001E"/>
    <w:rsid w:val="0041020F"/>
    <w:rsid w:val="00410667"/>
    <w:rsid w:val="004108BE"/>
    <w:rsid w:val="00410A50"/>
    <w:rsid w:val="00410DF4"/>
    <w:rsid w:val="00410F6A"/>
    <w:rsid w:val="004120BB"/>
    <w:rsid w:val="004124EB"/>
    <w:rsid w:val="0041280E"/>
    <w:rsid w:val="0041288C"/>
    <w:rsid w:val="004133BB"/>
    <w:rsid w:val="00413B57"/>
    <w:rsid w:val="00414C97"/>
    <w:rsid w:val="004154AF"/>
    <w:rsid w:val="004157B9"/>
    <w:rsid w:val="00415CAA"/>
    <w:rsid w:val="00416235"/>
    <w:rsid w:val="004162C4"/>
    <w:rsid w:val="0041677B"/>
    <w:rsid w:val="00416C7D"/>
    <w:rsid w:val="00416DC0"/>
    <w:rsid w:val="00417111"/>
    <w:rsid w:val="00417996"/>
    <w:rsid w:val="00417CFB"/>
    <w:rsid w:val="00417DA6"/>
    <w:rsid w:val="0042015D"/>
    <w:rsid w:val="00420177"/>
    <w:rsid w:val="00420A63"/>
    <w:rsid w:val="004211BD"/>
    <w:rsid w:val="00421AD9"/>
    <w:rsid w:val="00421CBF"/>
    <w:rsid w:val="0042275D"/>
    <w:rsid w:val="00422853"/>
    <w:rsid w:val="00422A84"/>
    <w:rsid w:val="00422DD8"/>
    <w:rsid w:val="004234D4"/>
    <w:rsid w:val="0042467B"/>
    <w:rsid w:val="00424BD7"/>
    <w:rsid w:val="00424DF0"/>
    <w:rsid w:val="0042558D"/>
    <w:rsid w:val="0042579B"/>
    <w:rsid w:val="00425C8B"/>
    <w:rsid w:val="00425F4B"/>
    <w:rsid w:val="00425F77"/>
    <w:rsid w:val="004273D9"/>
    <w:rsid w:val="00427475"/>
    <w:rsid w:val="004279D0"/>
    <w:rsid w:val="0043002D"/>
    <w:rsid w:val="00430577"/>
    <w:rsid w:val="00430964"/>
    <w:rsid w:val="00430BA3"/>
    <w:rsid w:val="0043129A"/>
    <w:rsid w:val="004318DA"/>
    <w:rsid w:val="00431A01"/>
    <w:rsid w:val="00431B05"/>
    <w:rsid w:val="0043246F"/>
    <w:rsid w:val="00432772"/>
    <w:rsid w:val="0043288B"/>
    <w:rsid w:val="00432D8D"/>
    <w:rsid w:val="00432E87"/>
    <w:rsid w:val="00433001"/>
    <w:rsid w:val="00433182"/>
    <w:rsid w:val="00433722"/>
    <w:rsid w:val="00434E60"/>
    <w:rsid w:val="00435292"/>
    <w:rsid w:val="0043576E"/>
    <w:rsid w:val="00435F33"/>
    <w:rsid w:val="00436102"/>
    <w:rsid w:val="00436454"/>
    <w:rsid w:val="00436492"/>
    <w:rsid w:val="00436764"/>
    <w:rsid w:val="0043680B"/>
    <w:rsid w:val="00436F10"/>
    <w:rsid w:val="00436F48"/>
    <w:rsid w:val="004373C4"/>
    <w:rsid w:val="004373CD"/>
    <w:rsid w:val="00437623"/>
    <w:rsid w:val="00437689"/>
    <w:rsid w:val="00437CFD"/>
    <w:rsid w:val="00437FE6"/>
    <w:rsid w:val="0044019B"/>
    <w:rsid w:val="00440298"/>
    <w:rsid w:val="004408B9"/>
    <w:rsid w:val="004419E8"/>
    <w:rsid w:val="00441B77"/>
    <w:rsid w:val="00441BDC"/>
    <w:rsid w:val="00442A6C"/>
    <w:rsid w:val="00442D18"/>
    <w:rsid w:val="00442DAB"/>
    <w:rsid w:val="00443283"/>
    <w:rsid w:val="00443756"/>
    <w:rsid w:val="00443BD2"/>
    <w:rsid w:val="00443E20"/>
    <w:rsid w:val="00444039"/>
    <w:rsid w:val="00444411"/>
    <w:rsid w:val="00444437"/>
    <w:rsid w:val="004444B1"/>
    <w:rsid w:val="004444C2"/>
    <w:rsid w:val="004447FF"/>
    <w:rsid w:val="00444BDC"/>
    <w:rsid w:val="00445193"/>
    <w:rsid w:val="004451B4"/>
    <w:rsid w:val="00445208"/>
    <w:rsid w:val="004458B3"/>
    <w:rsid w:val="00446643"/>
    <w:rsid w:val="00446B88"/>
    <w:rsid w:val="00447330"/>
    <w:rsid w:val="00450CCE"/>
    <w:rsid w:val="00450EC8"/>
    <w:rsid w:val="00451681"/>
    <w:rsid w:val="00451AF6"/>
    <w:rsid w:val="004522D4"/>
    <w:rsid w:val="004529F1"/>
    <w:rsid w:val="0045361E"/>
    <w:rsid w:val="0045367B"/>
    <w:rsid w:val="004537B4"/>
    <w:rsid w:val="00453A06"/>
    <w:rsid w:val="00454169"/>
    <w:rsid w:val="0045418F"/>
    <w:rsid w:val="004544F8"/>
    <w:rsid w:val="00454793"/>
    <w:rsid w:val="0045490A"/>
    <w:rsid w:val="00454B88"/>
    <w:rsid w:val="00454D56"/>
    <w:rsid w:val="00454D9F"/>
    <w:rsid w:val="004550B7"/>
    <w:rsid w:val="004552FA"/>
    <w:rsid w:val="0045598B"/>
    <w:rsid w:val="00455AE9"/>
    <w:rsid w:val="00455B24"/>
    <w:rsid w:val="00455FE9"/>
    <w:rsid w:val="00456466"/>
    <w:rsid w:val="00456A81"/>
    <w:rsid w:val="00456AB1"/>
    <w:rsid w:val="00456C7B"/>
    <w:rsid w:val="00456E42"/>
    <w:rsid w:val="00457245"/>
    <w:rsid w:val="004577CB"/>
    <w:rsid w:val="00457B47"/>
    <w:rsid w:val="00457E5B"/>
    <w:rsid w:val="00457F7F"/>
    <w:rsid w:val="00460C05"/>
    <w:rsid w:val="00461431"/>
    <w:rsid w:val="004627ED"/>
    <w:rsid w:val="00462865"/>
    <w:rsid w:val="0046297C"/>
    <w:rsid w:val="00462D58"/>
    <w:rsid w:val="00463382"/>
    <w:rsid w:val="00463E5D"/>
    <w:rsid w:val="00463F27"/>
    <w:rsid w:val="00464390"/>
    <w:rsid w:val="00464708"/>
    <w:rsid w:val="00464A19"/>
    <w:rsid w:val="00464AC9"/>
    <w:rsid w:val="00465656"/>
    <w:rsid w:val="00465802"/>
    <w:rsid w:val="00465C72"/>
    <w:rsid w:val="00465EC0"/>
    <w:rsid w:val="00465F3B"/>
    <w:rsid w:val="004666A5"/>
    <w:rsid w:val="00466884"/>
    <w:rsid w:val="00466F68"/>
    <w:rsid w:val="004671E6"/>
    <w:rsid w:val="00467B0A"/>
    <w:rsid w:val="004700A8"/>
    <w:rsid w:val="0047070E"/>
    <w:rsid w:val="00470A42"/>
    <w:rsid w:val="0047103C"/>
    <w:rsid w:val="00471E12"/>
    <w:rsid w:val="00472328"/>
    <w:rsid w:val="00472A7D"/>
    <w:rsid w:val="00472DED"/>
    <w:rsid w:val="00472FBF"/>
    <w:rsid w:val="00473867"/>
    <w:rsid w:val="004738CA"/>
    <w:rsid w:val="00473A39"/>
    <w:rsid w:val="00473B57"/>
    <w:rsid w:val="004740D9"/>
    <w:rsid w:val="0047416D"/>
    <w:rsid w:val="004741F9"/>
    <w:rsid w:val="004744CE"/>
    <w:rsid w:val="004746BD"/>
    <w:rsid w:val="0047471E"/>
    <w:rsid w:val="00474A5E"/>
    <w:rsid w:val="00474CD6"/>
    <w:rsid w:val="00474EF6"/>
    <w:rsid w:val="004752CA"/>
    <w:rsid w:val="00475421"/>
    <w:rsid w:val="00475BC0"/>
    <w:rsid w:val="0047603C"/>
    <w:rsid w:val="004767D4"/>
    <w:rsid w:val="00476B36"/>
    <w:rsid w:val="004777C0"/>
    <w:rsid w:val="0047789B"/>
    <w:rsid w:val="00477B78"/>
    <w:rsid w:val="00477C22"/>
    <w:rsid w:val="00480624"/>
    <w:rsid w:val="00480A7B"/>
    <w:rsid w:val="00480B0B"/>
    <w:rsid w:val="00480E69"/>
    <w:rsid w:val="004816B5"/>
    <w:rsid w:val="00481761"/>
    <w:rsid w:val="00481A30"/>
    <w:rsid w:val="00482768"/>
    <w:rsid w:val="00482A2A"/>
    <w:rsid w:val="00482B82"/>
    <w:rsid w:val="00482E8E"/>
    <w:rsid w:val="00482F3B"/>
    <w:rsid w:val="00482FEC"/>
    <w:rsid w:val="0048315E"/>
    <w:rsid w:val="00483449"/>
    <w:rsid w:val="004834DF"/>
    <w:rsid w:val="00483679"/>
    <w:rsid w:val="0048425C"/>
    <w:rsid w:val="0048450A"/>
    <w:rsid w:val="0048461D"/>
    <w:rsid w:val="00484A7A"/>
    <w:rsid w:val="00484C1E"/>
    <w:rsid w:val="00484F19"/>
    <w:rsid w:val="004859C2"/>
    <w:rsid w:val="004869FF"/>
    <w:rsid w:val="00486AC6"/>
    <w:rsid w:val="00486D2A"/>
    <w:rsid w:val="00486DB4"/>
    <w:rsid w:val="004872F3"/>
    <w:rsid w:val="00490038"/>
    <w:rsid w:val="004903E1"/>
    <w:rsid w:val="004909CD"/>
    <w:rsid w:val="004911A4"/>
    <w:rsid w:val="0049144D"/>
    <w:rsid w:val="00491839"/>
    <w:rsid w:val="00491A8F"/>
    <w:rsid w:val="00491CEB"/>
    <w:rsid w:val="004923A5"/>
    <w:rsid w:val="004923FA"/>
    <w:rsid w:val="004924D2"/>
    <w:rsid w:val="00492C6B"/>
    <w:rsid w:val="00492E53"/>
    <w:rsid w:val="00493678"/>
    <w:rsid w:val="0049396B"/>
    <w:rsid w:val="00493988"/>
    <w:rsid w:val="0049443E"/>
    <w:rsid w:val="00494972"/>
    <w:rsid w:val="00494D2D"/>
    <w:rsid w:val="004954EE"/>
    <w:rsid w:val="004954FB"/>
    <w:rsid w:val="004958AE"/>
    <w:rsid w:val="004960E0"/>
    <w:rsid w:val="0049715B"/>
    <w:rsid w:val="00497593"/>
    <w:rsid w:val="0049775B"/>
    <w:rsid w:val="00497EBD"/>
    <w:rsid w:val="004A0A73"/>
    <w:rsid w:val="004A0AA8"/>
    <w:rsid w:val="004A14FB"/>
    <w:rsid w:val="004A1831"/>
    <w:rsid w:val="004A186E"/>
    <w:rsid w:val="004A1C73"/>
    <w:rsid w:val="004A1D48"/>
    <w:rsid w:val="004A1F32"/>
    <w:rsid w:val="004A23D7"/>
    <w:rsid w:val="004A3399"/>
    <w:rsid w:val="004A34FB"/>
    <w:rsid w:val="004A3B53"/>
    <w:rsid w:val="004A3E1B"/>
    <w:rsid w:val="004A404E"/>
    <w:rsid w:val="004A4153"/>
    <w:rsid w:val="004A41FC"/>
    <w:rsid w:val="004A4B00"/>
    <w:rsid w:val="004A4C5A"/>
    <w:rsid w:val="004A540A"/>
    <w:rsid w:val="004A5583"/>
    <w:rsid w:val="004A5B1A"/>
    <w:rsid w:val="004A5C99"/>
    <w:rsid w:val="004A63A0"/>
    <w:rsid w:val="004A667B"/>
    <w:rsid w:val="004A66D9"/>
    <w:rsid w:val="004A6AA9"/>
    <w:rsid w:val="004A79E5"/>
    <w:rsid w:val="004A7D27"/>
    <w:rsid w:val="004B07A9"/>
    <w:rsid w:val="004B101B"/>
    <w:rsid w:val="004B1304"/>
    <w:rsid w:val="004B17C8"/>
    <w:rsid w:val="004B1A95"/>
    <w:rsid w:val="004B1B2C"/>
    <w:rsid w:val="004B1C53"/>
    <w:rsid w:val="004B2730"/>
    <w:rsid w:val="004B2ACC"/>
    <w:rsid w:val="004B3B07"/>
    <w:rsid w:val="004B3F83"/>
    <w:rsid w:val="004B3F8C"/>
    <w:rsid w:val="004B4077"/>
    <w:rsid w:val="004B42FE"/>
    <w:rsid w:val="004B43FA"/>
    <w:rsid w:val="004B4D6F"/>
    <w:rsid w:val="004B4F1A"/>
    <w:rsid w:val="004B5293"/>
    <w:rsid w:val="004B539E"/>
    <w:rsid w:val="004B5A1E"/>
    <w:rsid w:val="004B5D04"/>
    <w:rsid w:val="004B6184"/>
    <w:rsid w:val="004B69BB"/>
    <w:rsid w:val="004B6DA0"/>
    <w:rsid w:val="004B6FF7"/>
    <w:rsid w:val="004B7261"/>
    <w:rsid w:val="004B776F"/>
    <w:rsid w:val="004B78AE"/>
    <w:rsid w:val="004B7A96"/>
    <w:rsid w:val="004B7CDB"/>
    <w:rsid w:val="004C035D"/>
    <w:rsid w:val="004C0D00"/>
    <w:rsid w:val="004C0D1F"/>
    <w:rsid w:val="004C0EC0"/>
    <w:rsid w:val="004C129D"/>
    <w:rsid w:val="004C12C1"/>
    <w:rsid w:val="004C1410"/>
    <w:rsid w:val="004C1ECC"/>
    <w:rsid w:val="004C202D"/>
    <w:rsid w:val="004C2203"/>
    <w:rsid w:val="004C240D"/>
    <w:rsid w:val="004C2993"/>
    <w:rsid w:val="004C2E78"/>
    <w:rsid w:val="004C331A"/>
    <w:rsid w:val="004C3986"/>
    <w:rsid w:val="004C3ABF"/>
    <w:rsid w:val="004C41F4"/>
    <w:rsid w:val="004C4809"/>
    <w:rsid w:val="004C4896"/>
    <w:rsid w:val="004C4B45"/>
    <w:rsid w:val="004C4E0B"/>
    <w:rsid w:val="004C5185"/>
    <w:rsid w:val="004C550A"/>
    <w:rsid w:val="004C57B2"/>
    <w:rsid w:val="004C5C36"/>
    <w:rsid w:val="004C605A"/>
    <w:rsid w:val="004C6F92"/>
    <w:rsid w:val="004C73A6"/>
    <w:rsid w:val="004C7688"/>
    <w:rsid w:val="004D022B"/>
    <w:rsid w:val="004D037F"/>
    <w:rsid w:val="004D09F5"/>
    <w:rsid w:val="004D0B8E"/>
    <w:rsid w:val="004D0C94"/>
    <w:rsid w:val="004D0CA0"/>
    <w:rsid w:val="004D0EA5"/>
    <w:rsid w:val="004D1B98"/>
    <w:rsid w:val="004D1CBA"/>
    <w:rsid w:val="004D24B0"/>
    <w:rsid w:val="004D281A"/>
    <w:rsid w:val="004D3622"/>
    <w:rsid w:val="004D369F"/>
    <w:rsid w:val="004D3946"/>
    <w:rsid w:val="004D3EA8"/>
    <w:rsid w:val="004D412A"/>
    <w:rsid w:val="004D429B"/>
    <w:rsid w:val="004D535D"/>
    <w:rsid w:val="004D54C8"/>
    <w:rsid w:val="004D553D"/>
    <w:rsid w:val="004D55E5"/>
    <w:rsid w:val="004D57B2"/>
    <w:rsid w:val="004D6421"/>
    <w:rsid w:val="004D6F3B"/>
    <w:rsid w:val="004D733C"/>
    <w:rsid w:val="004D75E1"/>
    <w:rsid w:val="004D7EA7"/>
    <w:rsid w:val="004D7FB7"/>
    <w:rsid w:val="004E013E"/>
    <w:rsid w:val="004E0943"/>
    <w:rsid w:val="004E0A5E"/>
    <w:rsid w:val="004E0B10"/>
    <w:rsid w:val="004E0B1B"/>
    <w:rsid w:val="004E18F4"/>
    <w:rsid w:val="004E19CA"/>
    <w:rsid w:val="004E1ACE"/>
    <w:rsid w:val="004E1B43"/>
    <w:rsid w:val="004E1C38"/>
    <w:rsid w:val="004E2488"/>
    <w:rsid w:val="004E26E5"/>
    <w:rsid w:val="004E2C61"/>
    <w:rsid w:val="004E2EF7"/>
    <w:rsid w:val="004E33E6"/>
    <w:rsid w:val="004E3572"/>
    <w:rsid w:val="004E3871"/>
    <w:rsid w:val="004E3AAF"/>
    <w:rsid w:val="004E42E5"/>
    <w:rsid w:val="004E4830"/>
    <w:rsid w:val="004E49B9"/>
    <w:rsid w:val="004E4DFA"/>
    <w:rsid w:val="004E51E7"/>
    <w:rsid w:val="004E51FF"/>
    <w:rsid w:val="004E56C2"/>
    <w:rsid w:val="004E5827"/>
    <w:rsid w:val="004E5AE1"/>
    <w:rsid w:val="004E5B3F"/>
    <w:rsid w:val="004E5CEF"/>
    <w:rsid w:val="004E6231"/>
    <w:rsid w:val="004E6284"/>
    <w:rsid w:val="004E633C"/>
    <w:rsid w:val="004E6483"/>
    <w:rsid w:val="004E669E"/>
    <w:rsid w:val="004E66CE"/>
    <w:rsid w:val="004E6ACB"/>
    <w:rsid w:val="004E6D42"/>
    <w:rsid w:val="004E718D"/>
    <w:rsid w:val="004E7411"/>
    <w:rsid w:val="004E7D6E"/>
    <w:rsid w:val="004E7D94"/>
    <w:rsid w:val="004E7ED3"/>
    <w:rsid w:val="004F0AD8"/>
    <w:rsid w:val="004F0C51"/>
    <w:rsid w:val="004F0D26"/>
    <w:rsid w:val="004F1203"/>
    <w:rsid w:val="004F1906"/>
    <w:rsid w:val="004F2609"/>
    <w:rsid w:val="004F26F6"/>
    <w:rsid w:val="004F2A06"/>
    <w:rsid w:val="004F2A43"/>
    <w:rsid w:val="004F2ABE"/>
    <w:rsid w:val="004F2D4D"/>
    <w:rsid w:val="004F30C4"/>
    <w:rsid w:val="004F3CB5"/>
    <w:rsid w:val="004F4622"/>
    <w:rsid w:val="004F473E"/>
    <w:rsid w:val="004F48B4"/>
    <w:rsid w:val="004F4F58"/>
    <w:rsid w:val="004F5C53"/>
    <w:rsid w:val="004F5FE0"/>
    <w:rsid w:val="004F6359"/>
    <w:rsid w:val="004F6CEF"/>
    <w:rsid w:val="004F701C"/>
    <w:rsid w:val="004F7071"/>
    <w:rsid w:val="004F757F"/>
    <w:rsid w:val="004F75B7"/>
    <w:rsid w:val="004F7650"/>
    <w:rsid w:val="004F7BE1"/>
    <w:rsid w:val="004F7DBA"/>
    <w:rsid w:val="004F7FAD"/>
    <w:rsid w:val="005000F5"/>
    <w:rsid w:val="0050050B"/>
    <w:rsid w:val="005006DF"/>
    <w:rsid w:val="00500A5D"/>
    <w:rsid w:val="0050196D"/>
    <w:rsid w:val="00501A4F"/>
    <w:rsid w:val="00501FC0"/>
    <w:rsid w:val="0050227F"/>
    <w:rsid w:val="0050240B"/>
    <w:rsid w:val="00502957"/>
    <w:rsid w:val="00502AB3"/>
    <w:rsid w:val="00502B4E"/>
    <w:rsid w:val="00502E91"/>
    <w:rsid w:val="0050318F"/>
    <w:rsid w:val="005035EB"/>
    <w:rsid w:val="00503816"/>
    <w:rsid w:val="00503ACD"/>
    <w:rsid w:val="00503BE3"/>
    <w:rsid w:val="00503E67"/>
    <w:rsid w:val="00504015"/>
    <w:rsid w:val="005046A1"/>
    <w:rsid w:val="00504C85"/>
    <w:rsid w:val="00504F72"/>
    <w:rsid w:val="00504F82"/>
    <w:rsid w:val="005053A8"/>
    <w:rsid w:val="0050561B"/>
    <w:rsid w:val="00505912"/>
    <w:rsid w:val="00505C71"/>
    <w:rsid w:val="00505E26"/>
    <w:rsid w:val="00506324"/>
    <w:rsid w:val="0050632F"/>
    <w:rsid w:val="005070CB"/>
    <w:rsid w:val="00507168"/>
    <w:rsid w:val="0050785E"/>
    <w:rsid w:val="00510CAF"/>
    <w:rsid w:val="0051153F"/>
    <w:rsid w:val="00511624"/>
    <w:rsid w:val="00511740"/>
    <w:rsid w:val="0051181E"/>
    <w:rsid w:val="00511E22"/>
    <w:rsid w:val="00511FA4"/>
    <w:rsid w:val="00511FE6"/>
    <w:rsid w:val="00512290"/>
    <w:rsid w:val="00512366"/>
    <w:rsid w:val="0051245F"/>
    <w:rsid w:val="00513005"/>
    <w:rsid w:val="0051334E"/>
    <w:rsid w:val="00513762"/>
    <w:rsid w:val="0051376E"/>
    <w:rsid w:val="005137D8"/>
    <w:rsid w:val="00513B3B"/>
    <w:rsid w:val="00513B56"/>
    <w:rsid w:val="00514036"/>
    <w:rsid w:val="0051438C"/>
    <w:rsid w:val="00514617"/>
    <w:rsid w:val="00514BDF"/>
    <w:rsid w:val="005153F9"/>
    <w:rsid w:val="005155A6"/>
    <w:rsid w:val="00515B94"/>
    <w:rsid w:val="00515DEC"/>
    <w:rsid w:val="00516184"/>
    <w:rsid w:val="00516882"/>
    <w:rsid w:val="00516FA1"/>
    <w:rsid w:val="005176B4"/>
    <w:rsid w:val="00517805"/>
    <w:rsid w:val="00517DE1"/>
    <w:rsid w:val="00520458"/>
    <w:rsid w:val="0052047D"/>
    <w:rsid w:val="00520568"/>
    <w:rsid w:val="005206C5"/>
    <w:rsid w:val="005208E0"/>
    <w:rsid w:val="0052273F"/>
    <w:rsid w:val="00522CC6"/>
    <w:rsid w:val="00522E54"/>
    <w:rsid w:val="00523162"/>
    <w:rsid w:val="00523713"/>
    <w:rsid w:val="00523B44"/>
    <w:rsid w:val="00523F70"/>
    <w:rsid w:val="0052459C"/>
    <w:rsid w:val="005245E1"/>
    <w:rsid w:val="005248C9"/>
    <w:rsid w:val="00524FAA"/>
    <w:rsid w:val="005254D5"/>
    <w:rsid w:val="00525AB2"/>
    <w:rsid w:val="00525FA0"/>
    <w:rsid w:val="005266CF"/>
    <w:rsid w:val="00526AAC"/>
    <w:rsid w:val="0052708F"/>
    <w:rsid w:val="005272F0"/>
    <w:rsid w:val="00527478"/>
    <w:rsid w:val="0052781A"/>
    <w:rsid w:val="0053006D"/>
    <w:rsid w:val="005303B2"/>
    <w:rsid w:val="00530A6D"/>
    <w:rsid w:val="00531524"/>
    <w:rsid w:val="00531A45"/>
    <w:rsid w:val="005328E6"/>
    <w:rsid w:val="005329C2"/>
    <w:rsid w:val="005337D4"/>
    <w:rsid w:val="00533B67"/>
    <w:rsid w:val="00534248"/>
    <w:rsid w:val="00534328"/>
    <w:rsid w:val="00535276"/>
    <w:rsid w:val="005360E7"/>
    <w:rsid w:val="005368EC"/>
    <w:rsid w:val="00536E19"/>
    <w:rsid w:val="00537178"/>
    <w:rsid w:val="00537655"/>
    <w:rsid w:val="0053777A"/>
    <w:rsid w:val="00540632"/>
    <w:rsid w:val="00540B30"/>
    <w:rsid w:val="00541296"/>
    <w:rsid w:val="005414DF"/>
    <w:rsid w:val="00541A03"/>
    <w:rsid w:val="00541C38"/>
    <w:rsid w:val="00542127"/>
    <w:rsid w:val="005421CE"/>
    <w:rsid w:val="005431FF"/>
    <w:rsid w:val="00543E0F"/>
    <w:rsid w:val="0054409D"/>
    <w:rsid w:val="0054499E"/>
    <w:rsid w:val="00544E4C"/>
    <w:rsid w:val="005454E8"/>
    <w:rsid w:val="00545DC5"/>
    <w:rsid w:val="00545E12"/>
    <w:rsid w:val="00545F8F"/>
    <w:rsid w:val="005460B1"/>
    <w:rsid w:val="005467FD"/>
    <w:rsid w:val="00546DFB"/>
    <w:rsid w:val="00546E00"/>
    <w:rsid w:val="00547161"/>
    <w:rsid w:val="00547347"/>
    <w:rsid w:val="00547887"/>
    <w:rsid w:val="00547A73"/>
    <w:rsid w:val="00547F58"/>
    <w:rsid w:val="0055021C"/>
    <w:rsid w:val="005502DC"/>
    <w:rsid w:val="0055042A"/>
    <w:rsid w:val="005509DA"/>
    <w:rsid w:val="00551A09"/>
    <w:rsid w:val="00551F85"/>
    <w:rsid w:val="0055206D"/>
    <w:rsid w:val="00552534"/>
    <w:rsid w:val="00552D0B"/>
    <w:rsid w:val="00552D2C"/>
    <w:rsid w:val="00553387"/>
    <w:rsid w:val="005533C7"/>
    <w:rsid w:val="00553B31"/>
    <w:rsid w:val="00553CAE"/>
    <w:rsid w:val="00553FEF"/>
    <w:rsid w:val="0055511E"/>
    <w:rsid w:val="005551B7"/>
    <w:rsid w:val="00555454"/>
    <w:rsid w:val="005557C8"/>
    <w:rsid w:val="005557D7"/>
    <w:rsid w:val="0055592D"/>
    <w:rsid w:val="00555C66"/>
    <w:rsid w:val="005562DF"/>
    <w:rsid w:val="00556EDD"/>
    <w:rsid w:val="00557348"/>
    <w:rsid w:val="00557763"/>
    <w:rsid w:val="0056004E"/>
    <w:rsid w:val="005602F4"/>
    <w:rsid w:val="0056123F"/>
    <w:rsid w:val="00561422"/>
    <w:rsid w:val="00561C18"/>
    <w:rsid w:val="00562FB0"/>
    <w:rsid w:val="00563514"/>
    <w:rsid w:val="005637A4"/>
    <w:rsid w:val="005639BA"/>
    <w:rsid w:val="005641B2"/>
    <w:rsid w:val="00564719"/>
    <w:rsid w:val="00564BC2"/>
    <w:rsid w:val="00564D46"/>
    <w:rsid w:val="00565C03"/>
    <w:rsid w:val="00566190"/>
    <w:rsid w:val="005666A1"/>
    <w:rsid w:val="005667B7"/>
    <w:rsid w:val="00566CF2"/>
    <w:rsid w:val="005674E0"/>
    <w:rsid w:val="00567671"/>
    <w:rsid w:val="00570530"/>
    <w:rsid w:val="00571A6A"/>
    <w:rsid w:val="00572663"/>
    <w:rsid w:val="00572699"/>
    <w:rsid w:val="00572787"/>
    <w:rsid w:val="00572EEC"/>
    <w:rsid w:val="005747F1"/>
    <w:rsid w:val="00574A53"/>
    <w:rsid w:val="00574C98"/>
    <w:rsid w:val="00574D89"/>
    <w:rsid w:val="00575214"/>
    <w:rsid w:val="00575577"/>
    <w:rsid w:val="005757F9"/>
    <w:rsid w:val="00575935"/>
    <w:rsid w:val="00576171"/>
    <w:rsid w:val="0057629F"/>
    <w:rsid w:val="005765EA"/>
    <w:rsid w:val="00577004"/>
    <w:rsid w:val="00577082"/>
    <w:rsid w:val="005771B8"/>
    <w:rsid w:val="005776A9"/>
    <w:rsid w:val="00577C0E"/>
    <w:rsid w:val="00577EA1"/>
    <w:rsid w:val="005800AF"/>
    <w:rsid w:val="00580B93"/>
    <w:rsid w:val="00580C04"/>
    <w:rsid w:val="00580E7C"/>
    <w:rsid w:val="00582213"/>
    <w:rsid w:val="00582426"/>
    <w:rsid w:val="005826C0"/>
    <w:rsid w:val="005831F3"/>
    <w:rsid w:val="005832D4"/>
    <w:rsid w:val="0058370A"/>
    <w:rsid w:val="00583F80"/>
    <w:rsid w:val="0058439D"/>
    <w:rsid w:val="005856D7"/>
    <w:rsid w:val="005858FA"/>
    <w:rsid w:val="00585A38"/>
    <w:rsid w:val="00586072"/>
    <w:rsid w:val="00586161"/>
    <w:rsid w:val="00587834"/>
    <w:rsid w:val="005879B6"/>
    <w:rsid w:val="00590571"/>
    <w:rsid w:val="00590EE0"/>
    <w:rsid w:val="005920FD"/>
    <w:rsid w:val="00592342"/>
    <w:rsid w:val="005925C4"/>
    <w:rsid w:val="00592DB0"/>
    <w:rsid w:val="00592F6D"/>
    <w:rsid w:val="005932F9"/>
    <w:rsid w:val="0059379B"/>
    <w:rsid w:val="00593B8B"/>
    <w:rsid w:val="00594050"/>
    <w:rsid w:val="00594129"/>
    <w:rsid w:val="0059455A"/>
    <w:rsid w:val="00594AB3"/>
    <w:rsid w:val="00594B2E"/>
    <w:rsid w:val="00594F86"/>
    <w:rsid w:val="00595267"/>
    <w:rsid w:val="005953AC"/>
    <w:rsid w:val="00595545"/>
    <w:rsid w:val="005956CF"/>
    <w:rsid w:val="005979A4"/>
    <w:rsid w:val="005A0607"/>
    <w:rsid w:val="005A0F99"/>
    <w:rsid w:val="005A194C"/>
    <w:rsid w:val="005A1AF6"/>
    <w:rsid w:val="005A1B38"/>
    <w:rsid w:val="005A1E0F"/>
    <w:rsid w:val="005A2B12"/>
    <w:rsid w:val="005A31EF"/>
    <w:rsid w:val="005A36CA"/>
    <w:rsid w:val="005A3B5B"/>
    <w:rsid w:val="005A3E17"/>
    <w:rsid w:val="005A3F4C"/>
    <w:rsid w:val="005A3F7D"/>
    <w:rsid w:val="005A4ED9"/>
    <w:rsid w:val="005A5017"/>
    <w:rsid w:val="005A50DD"/>
    <w:rsid w:val="005A523F"/>
    <w:rsid w:val="005A5DF7"/>
    <w:rsid w:val="005A5F09"/>
    <w:rsid w:val="005A679A"/>
    <w:rsid w:val="005A7509"/>
    <w:rsid w:val="005A78C7"/>
    <w:rsid w:val="005A7CC0"/>
    <w:rsid w:val="005B01EE"/>
    <w:rsid w:val="005B0422"/>
    <w:rsid w:val="005B07C9"/>
    <w:rsid w:val="005B1027"/>
    <w:rsid w:val="005B17E1"/>
    <w:rsid w:val="005B19B5"/>
    <w:rsid w:val="005B1A84"/>
    <w:rsid w:val="005B1D23"/>
    <w:rsid w:val="005B2264"/>
    <w:rsid w:val="005B2558"/>
    <w:rsid w:val="005B29E0"/>
    <w:rsid w:val="005B2AEF"/>
    <w:rsid w:val="005B2C2B"/>
    <w:rsid w:val="005B2CCD"/>
    <w:rsid w:val="005B2EE5"/>
    <w:rsid w:val="005B2EFC"/>
    <w:rsid w:val="005B33F2"/>
    <w:rsid w:val="005B358D"/>
    <w:rsid w:val="005B35BB"/>
    <w:rsid w:val="005B395B"/>
    <w:rsid w:val="005B3C10"/>
    <w:rsid w:val="005B48D3"/>
    <w:rsid w:val="005B4C80"/>
    <w:rsid w:val="005B51C3"/>
    <w:rsid w:val="005B5A6B"/>
    <w:rsid w:val="005B6BE8"/>
    <w:rsid w:val="005B6FD5"/>
    <w:rsid w:val="005B78F4"/>
    <w:rsid w:val="005B79AA"/>
    <w:rsid w:val="005B7E15"/>
    <w:rsid w:val="005B7FE4"/>
    <w:rsid w:val="005C007F"/>
    <w:rsid w:val="005C0A71"/>
    <w:rsid w:val="005C0BA1"/>
    <w:rsid w:val="005C0CB7"/>
    <w:rsid w:val="005C1962"/>
    <w:rsid w:val="005C1E10"/>
    <w:rsid w:val="005C22CE"/>
    <w:rsid w:val="005C2336"/>
    <w:rsid w:val="005C2753"/>
    <w:rsid w:val="005C2BD0"/>
    <w:rsid w:val="005C36CC"/>
    <w:rsid w:val="005C3FFF"/>
    <w:rsid w:val="005C49D5"/>
    <w:rsid w:val="005C4F74"/>
    <w:rsid w:val="005C5383"/>
    <w:rsid w:val="005C55A3"/>
    <w:rsid w:val="005C5656"/>
    <w:rsid w:val="005C68C0"/>
    <w:rsid w:val="005C6BE3"/>
    <w:rsid w:val="005C6D8D"/>
    <w:rsid w:val="005C740C"/>
    <w:rsid w:val="005C7559"/>
    <w:rsid w:val="005D0626"/>
    <w:rsid w:val="005D0658"/>
    <w:rsid w:val="005D08C3"/>
    <w:rsid w:val="005D0AD7"/>
    <w:rsid w:val="005D0EFD"/>
    <w:rsid w:val="005D1254"/>
    <w:rsid w:val="005D1692"/>
    <w:rsid w:val="005D19B7"/>
    <w:rsid w:val="005D2598"/>
    <w:rsid w:val="005D35BA"/>
    <w:rsid w:val="005D3B41"/>
    <w:rsid w:val="005D3B6B"/>
    <w:rsid w:val="005D3D0B"/>
    <w:rsid w:val="005D4340"/>
    <w:rsid w:val="005D4344"/>
    <w:rsid w:val="005D573D"/>
    <w:rsid w:val="005D5A62"/>
    <w:rsid w:val="005D5C6B"/>
    <w:rsid w:val="005D5DFA"/>
    <w:rsid w:val="005D5E42"/>
    <w:rsid w:val="005D5E5C"/>
    <w:rsid w:val="005D6665"/>
    <w:rsid w:val="005D66ED"/>
    <w:rsid w:val="005D67A6"/>
    <w:rsid w:val="005D69B1"/>
    <w:rsid w:val="005D6D13"/>
    <w:rsid w:val="005D701D"/>
    <w:rsid w:val="005D748F"/>
    <w:rsid w:val="005E013F"/>
    <w:rsid w:val="005E1723"/>
    <w:rsid w:val="005E1D00"/>
    <w:rsid w:val="005E1FFB"/>
    <w:rsid w:val="005E2286"/>
    <w:rsid w:val="005E2A4D"/>
    <w:rsid w:val="005E2D40"/>
    <w:rsid w:val="005E353D"/>
    <w:rsid w:val="005E3A61"/>
    <w:rsid w:val="005E3ABB"/>
    <w:rsid w:val="005E3C74"/>
    <w:rsid w:val="005E402C"/>
    <w:rsid w:val="005E4085"/>
    <w:rsid w:val="005E43A8"/>
    <w:rsid w:val="005E470E"/>
    <w:rsid w:val="005E47A3"/>
    <w:rsid w:val="005E491F"/>
    <w:rsid w:val="005E4925"/>
    <w:rsid w:val="005E4D09"/>
    <w:rsid w:val="005E4E8E"/>
    <w:rsid w:val="005E52B8"/>
    <w:rsid w:val="005E5F7C"/>
    <w:rsid w:val="005E6093"/>
    <w:rsid w:val="005E62D3"/>
    <w:rsid w:val="005E68BC"/>
    <w:rsid w:val="005E6CE2"/>
    <w:rsid w:val="005E6FDB"/>
    <w:rsid w:val="005E7042"/>
    <w:rsid w:val="005E7073"/>
    <w:rsid w:val="005E7213"/>
    <w:rsid w:val="005E77D3"/>
    <w:rsid w:val="005F15D8"/>
    <w:rsid w:val="005F2296"/>
    <w:rsid w:val="005F23A5"/>
    <w:rsid w:val="005F284E"/>
    <w:rsid w:val="005F2D60"/>
    <w:rsid w:val="005F38AD"/>
    <w:rsid w:val="005F4498"/>
    <w:rsid w:val="005F4AED"/>
    <w:rsid w:val="005F4BAB"/>
    <w:rsid w:val="005F4DBF"/>
    <w:rsid w:val="005F4E55"/>
    <w:rsid w:val="005F5809"/>
    <w:rsid w:val="005F5E9E"/>
    <w:rsid w:val="005F6106"/>
    <w:rsid w:val="005F61DF"/>
    <w:rsid w:val="005F73F9"/>
    <w:rsid w:val="005F7510"/>
    <w:rsid w:val="005F79A0"/>
    <w:rsid w:val="005F7A3E"/>
    <w:rsid w:val="006001E7"/>
    <w:rsid w:val="0060091E"/>
    <w:rsid w:val="006019E9"/>
    <w:rsid w:val="00601C07"/>
    <w:rsid w:val="00601F9D"/>
    <w:rsid w:val="0060201F"/>
    <w:rsid w:val="006023FC"/>
    <w:rsid w:val="00602456"/>
    <w:rsid w:val="00602DF4"/>
    <w:rsid w:val="0060308C"/>
    <w:rsid w:val="006032A7"/>
    <w:rsid w:val="006033F1"/>
    <w:rsid w:val="0060366C"/>
    <w:rsid w:val="00603AA0"/>
    <w:rsid w:val="00603DAE"/>
    <w:rsid w:val="0060419B"/>
    <w:rsid w:val="00604245"/>
    <w:rsid w:val="006045FE"/>
    <w:rsid w:val="006046E5"/>
    <w:rsid w:val="00604AC9"/>
    <w:rsid w:val="00605061"/>
    <w:rsid w:val="006056A2"/>
    <w:rsid w:val="00605C46"/>
    <w:rsid w:val="00605CD7"/>
    <w:rsid w:val="00605D17"/>
    <w:rsid w:val="0060606D"/>
    <w:rsid w:val="00606425"/>
    <w:rsid w:val="00606599"/>
    <w:rsid w:val="006065CA"/>
    <w:rsid w:val="00606634"/>
    <w:rsid w:val="0060690E"/>
    <w:rsid w:val="00606999"/>
    <w:rsid w:val="00606B27"/>
    <w:rsid w:val="00606D09"/>
    <w:rsid w:val="00606D39"/>
    <w:rsid w:val="0060786D"/>
    <w:rsid w:val="00610113"/>
    <w:rsid w:val="006102CA"/>
    <w:rsid w:val="006104E2"/>
    <w:rsid w:val="0061072A"/>
    <w:rsid w:val="0061107C"/>
    <w:rsid w:val="00611189"/>
    <w:rsid w:val="00611287"/>
    <w:rsid w:val="00611714"/>
    <w:rsid w:val="00611715"/>
    <w:rsid w:val="00611855"/>
    <w:rsid w:val="00611B38"/>
    <w:rsid w:val="006122C1"/>
    <w:rsid w:val="00612853"/>
    <w:rsid w:val="00612C02"/>
    <w:rsid w:val="006136B7"/>
    <w:rsid w:val="006136FD"/>
    <w:rsid w:val="00613724"/>
    <w:rsid w:val="00613A0E"/>
    <w:rsid w:val="00613AAE"/>
    <w:rsid w:val="00613CF3"/>
    <w:rsid w:val="0061439E"/>
    <w:rsid w:val="0061446B"/>
    <w:rsid w:val="0061478D"/>
    <w:rsid w:val="00614929"/>
    <w:rsid w:val="00614B16"/>
    <w:rsid w:val="00615302"/>
    <w:rsid w:val="006155C4"/>
    <w:rsid w:val="006166E9"/>
    <w:rsid w:val="0061726A"/>
    <w:rsid w:val="006178C6"/>
    <w:rsid w:val="00617F52"/>
    <w:rsid w:val="00620135"/>
    <w:rsid w:val="006209A8"/>
    <w:rsid w:val="00620BA3"/>
    <w:rsid w:val="00620D74"/>
    <w:rsid w:val="0062130E"/>
    <w:rsid w:val="00621318"/>
    <w:rsid w:val="006224C1"/>
    <w:rsid w:val="006227DA"/>
    <w:rsid w:val="006227E2"/>
    <w:rsid w:val="00622C55"/>
    <w:rsid w:val="00622FC4"/>
    <w:rsid w:val="00623201"/>
    <w:rsid w:val="00623DF9"/>
    <w:rsid w:val="006243A6"/>
    <w:rsid w:val="00624561"/>
    <w:rsid w:val="006245CF"/>
    <w:rsid w:val="00624960"/>
    <w:rsid w:val="00624E24"/>
    <w:rsid w:val="00624E2C"/>
    <w:rsid w:val="00624F02"/>
    <w:rsid w:val="00625084"/>
    <w:rsid w:val="00625A03"/>
    <w:rsid w:val="00625B2F"/>
    <w:rsid w:val="00625E67"/>
    <w:rsid w:val="00626187"/>
    <w:rsid w:val="00626984"/>
    <w:rsid w:val="00626C24"/>
    <w:rsid w:val="006271D9"/>
    <w:rsid w:val="00627F32"/>
    <w:rsid w:val="006303EF"/>
    <w:rsid w:val="0063084D"/>
    <w:rsid w:val="006308F0"/>
    <w:rsid w:val="0063091A"/>
    <w:rsid w:val="00630BB7"/>
    <w:rsid w:val="00631186"/>
    <w:rsid w:val="00631339"/>
    <w:rsid w:val="006313F5"/>
    <w:rsid w:val="0063193D"/>
    <w:rsid w:val="00631D45"/>
    <w:rsid w:val="00632061"/>
    <w:rsid w:val="00632592"/>
    <w:rsid w:val="00632655"/>
    <w:rsid w:val="00632745"/>
    <w:rsid w:val="00632AF4"/>
    <w:rsid w:val="006333A3"/>
    <w:rsid w:val="00633683"/>
    <w:rsid w:val="006337ED"/>
    <w:rsid w:val="006346B7"/>
    <w:rsid w:val="00634865"/>
    <w:rsid w:val="00634F79"/>
    <w:rsid w:val="00635631"/>
    <w:rsid w:val="00635980"/>
    <w:rsid w:val="00635E0B"/>
    <w:rsid w:val="00635EC5"/>
    <w:rsid w:val="0063602C"/>
    <w:rsid w:val="00636477"/>
    <w:rsid w:val="00636B38"/>
    <w:rsid w:val="006373C5"/>
    <w:rsid w:val="00637486"/>
    <w:rsid w:val="006376ED"/>
    <w:rsid w:val="00637724"/>
    <w:rsid w:val="0063777F"/>
    <w:rsid w:val="00637AC7"/>
    <w:rsid w:val="00637D6C"/>
    <w:rsid w:val="006406C4"/>
    <w:rsid w:val="00640734"/>
    <w:rsid w:val="006408FB"/>
    <w:rsid w:val="00640936"/>
    <w:rsid w:val="00640C20"/>
    <w:rsid w:val="006418AF"/>
    <w:rsid w:val="00641B34"/>
    <w:rsid w:val="00641D61"/>
    <w:rsid w:val="00642430"/>
    <w:rsid w:val="006425E4"/>
    <w:rsid w:val="0064260A"/>
    <w:rsid w:val="00643543"/>
    <w:rsid w:val="006448F8"/>
    <w:rsid w:val="006453C5"/>
    <w:rsid w:val="006458EC"/>
    <w:rsid w:val="00645F23"/>
    <w:rsid w:val="00646B3D"/>
    <w:rsid w:val="00646C1B"/>
    <w:rsid w:val="00647477"/>
    <w:rsid w:val="006475CE"/>
    <w:rsid w:val="00647EB3"/>
    <w:rsid w:val="00651138"/>
    <w:rsid w:val="006511A3"/>
    <w:rsid w:val="00651330"/>
    <w:rsid w:val="00651807"/>
    <w:rsid w:val="00651A62"/>
    <w:rsid w:val="006520A7"/>
    <w:rsid w:val="006527A8"/>
    <w:rsid w:val="00653100"/>
    <w:rsid w:val="006535F3"/>
    <w:rsid w:val="00653FA4"/>
    <w:rsid w:val="00654789"/>
    <w:rsid w:val="006550B5"/>
    <w:rsid w:val="0065570F"/>
    <w:rsid w:val="006559C3"/>
    <w:rsid w:val="00655A00"/>
    <w:rsid w:val="00655A3B"/>
    <w:rsid w:val="006561D7"/>
    <w:rsid w:val="0065633E"/>
    <w:rsid w:val="006566F6"/>
    <w:rsid w:val="00656A22"/>
    <w:rsid w:val="00656C30"/>
    <w:rsid w:val="00657213"/>
    <w:rsid w:val="0065733C"/>
    <w:rsid w:val="00657611"/>
    <w:rsid w:val="00657C0B"/>
    <w:rsid w:val="00657D09"/>
    <w:rsid w:val="00660964"/>
    <w:rsid w:val="00660FB3"/>
    <w:rsid w:val="006610A6"/>
    <w:rsid w:val="006613E6"/>
    <w:rsid w:val="006616A5"/>
    <w:rsid w:val="00661C98"/>
    <w:rsid w:val="00661E38"/>
    <w:rsid w:val="00661E6C"/>
    <w:rsid w:val="0066237F"/>
    <w:rsid w:val="00662E47"/>
    <w:rsid w:val="006632F9"/>
    <w:rsid w:val="006638CB"/>
    <w:rsid w:val="00663B82"/>
    <w:rsid w:val="00663BF7"/>
    <w:rsid w:val="00663EDB"/>
    <w:rsid w:val="00664219"/>
    <w:rsid w:val="00664482"/>
    <w:rsid w:val="00664755"/>
    <w:rsid w:val="00664DA9"/>
    <w:rsid w:val="0066598D"/>
    <w:rsid w:val="006659BE"/>
    <w:rsid w:val="00665B1A"/>
    <w:rsid w:val="00665E7A"/>
    <w:rsid w:val="00665F2F"/>
    <w:rsid w:val="00666160"/>
    <w:rsid w:val="00666945"/>
    <w:rsid w:val="00666C63"/>
    <w:rsid w:val="00666E11"/>
    <w:rsid w:val="00670201"/>
    <w:rsid w:val="00670A6D"/>
    <w:rsid w:val="00671CBE"/>
    <w:rsid w:val="00671EF5"/>
    <w:rsid w:val="00672DC7"/>
    <w:rsid w:val="00672DD5"/>
    <w:rsid w:val="00673566"/>
    <w:rsid w:val="00673610"/>
    <w:rsid w:val="00673937"/>
    <w:rsid w:val="00674346"/>
    <w:rsid w:val="006746A3"/>
    <w:rsid w:val="00675797"/>
    <w:rsid w:val="00675919"/>
    <w:rsid w:val="00675A26"/>
    <w:rsid w:val="00675F26"/>
    <w:rsid w:val="00676100"/>
    <w:rsid w:val="006764B3"/>
    <w:rsid w:val="00676C85"/>
    <w:rsid w:val="00677649"/>
    <w:rsid w:val="00677856"/>
    <w:rsid w:val="0068029C"/>
    <w:rsid w:val="0068062F"/>
    <w:rsid w:val="00680F24"/>
    <w:rsid w:val="0068135E"/>
    <w:rsid w:val="00681447"/>
    <w:rsid w:val="0068146E"/>
    <w:rsid w:val="00681683"/>
    <w:rsid w:val="00681700"/>
    <w:rsid w:val="00682811"/>
    <w:rsid w:val="00682E00"/>
    <w:rsid w:val="00683FDC"/>
    <w:rsid w:val="0068420A"/>
    <w:rsid w:val="006847AF"/>
    <w:rsid w:val="006849CE"/>
    <w:rsid w:val="00684A24"/>
    <w:rsid w:val="006858E7"/>
    <w:rsid w:val="00685AF2"/>
    <w:rsid w:val="00685B20"/>
    <w:rsid w:val="00687182"/>
    <w:rsid w:val="00687AFB"/>
    <w:rsid w:val="00687B79"/>
    <w:rsid w:val="00687E61"/>
    <w:rsid w:val="00687F60"/>
    <w:rsid w:val="00687FDD"/>
    <w:rsid w:val="00690064"/>
    <w:rsid w:val="006905C6"/>
    <w:rsid w:val="006907C5"/>
    <w:rsid w:val="00690A19"/>
    <w:rsid w:val="00690AC3"/>
    <w:rsid w:val="00690E16"/>
    <w:rsid w:val="0069109A"/>
    <w:rsid w:val="00691426"/>
    <w:rsid w:val="00691446"/>
    <w:rsid w:val="006917CD"/>
    <w:rsid w:val="00691B34"/>
    <w:rsid w:val="00691D95"/>
    <w:rsid w:val="00691DFE"/>
    <w:rsid w:val="006924C1"/>
    <w:rsid w:val="00692780"/>
    <w:rsid w:val="00692A00"/>
    <w:rsid w:val="006934ED"/>
    <w:rsid w:val="00693548"/>
    <w:rsid w:val="00693595"/>
    <w:rsid w:val="00693928"/>
    <w:rsid w:val="006939D7"/>
    <w:rsid w:val="006941FC"/>
    <w:rsid w:val="006947A9"/>
    <w:rsid w:val="006949D2"/>
    <w:rsid w:val="00694C06"/>
    <w:rsid w:val="00694C5F"/>
    <w:rsid w:val="00695140"/>
    <w:rsid w:val="006955B2"/>
    <w:rsid w:val="00696587"/>
    <w:rsid w:val="00696917"/>
    <w:rsid w:val="00696A58"/>
    <w:rsid w:val="006971D7"/>
    <w:rsid w:val="0069746E"/>
    <w:rsid w:val="00697544"/>
    <w:rsid w:val="00697946"/>
    <w:rsid w:val="00697C4E"/>
    <w:rsid w:val="006A028F"/>
    <w:rsid w:val="006A0AF2"/>
    <w:rsid w:val="006A0DE8"/>
    <w:rsid w:val="006A1331"/>
    <w:rsid w:val="006A14AE"/>
    <w:rsid w:val="006A2333"/>
    <w:rsid w:val="006A23D3"/>
    <w:rsid w:val="006A2E01"/>
    <w:rsid w:val="006A38F5"/>
    <w:rsid w:val="006A3903"/>
    <w:rsid w:val="006A3F08"/>
    <w:rsid w:val="006A4A9C"/>
    <w:rsid w:val="006A4D43"/>
    <w:rsid w:val="006A5A30"/>
    <w:rsid w:val="006A6325"/>
    <w:rsid w:val="006A6E1D"/>
    <w:rsid w:val="006A71A2"/>
    <w:rsid w:val="006A72F2"/>
    <w:rsid w:val="006A742B"/>
    <w:rsid w:val="006A757A"/>
    <w:rsid w:val="006A77B9"/>
    <w:rsid w:val="006A7A0B"/>
    <w:rsid w:val="006B0328"/>
    <w:rsid w:val="006B15F7"/>
    <w:rsid w:val="006B169E"/>
    <w:rsid w:val="006B177F"/>
    <w:rsid w:val="006B1A42"/>
    <w:rsid w:val="006B1A89"/>
    <w:rsid w:val="006B2842"/>
    <w:rsid w:val="006B2E90"/>
    <w:rsid w:val="006B2E9F"/>
    <w:rsid w:val="006B32AB"/>
    <w:rsid w:val="006B33B4"/>
    <w:rsid w:val="006B388A"/>
    <w:rsid w:val="006B4253"/>
    <w:rsid w:val="006B43EC"/>
    <w:rsid w:val="006B4B3F"/>
    <w:rsid w:val="006B5691"/>
    <w:rsid w:val="006B58E6"/>
    <w:rsid w:val="006B652D"/>
    <w:rsid w:val="006B65A7"/>
    <w:rsid w:val="006B682E"/>
    <w:rsid w:val="006B68E0"/>
    <w:rsid w:val="006B6ABD"/>
    <w:rsid w:val="006B6C95"/>
    <w:rsid w:val="006B6F8B"/>
    <w:rsid w:val="006B72FB"/>
    <w:rsid w:val="006B7F66"/>
    <w:rsid w:val="006C1910"/>
    <w:rsid w:val="006C1AC7"/>
    <w:rsid w:val="006C209F"/>
    <w:rsid w:val="006C2544"/>
    <w:rsid w:val="006C320A"/>
    <w:rsid w:val="006C32DC"/>
    <w:rsid w:val="006C3577"/>
    <w:rsid w:val="006C35A6"/>
    <w:rsid w:val="006C37F9"/>
    <w:rsid w:val="006C3998"/>
    <w:rsid w:val="006C3EC7"/>
    <w:rsid w:val="006C4BC8"/>
    <w:rsid w:val="006C4E53"/>
    <w:rsid w:val="006C56DA"/>
    <w:rsid w:val="006C5846"/>
    <w:rsid w:val="006C58F9"/>
    <w:rsid w:val="006C60D0"/>
    <w:rsid w:val="006C6511"/>
    <w:rsid w:val="006C655B"/>
    <w:rsid w:val="006C76FB"/>
    <w:rsid w:val="006C79C1"/>
    <w:rsid w:val="006D001F"/>
    <w:rsid w:val="006D1884"/>
    <w:rsid w:val="006D1972"/>
    <w:rsid w:val="006D19FD"/>
    <w:rsid w:val="006D1A13"/>
    <w:rsid w:val="006D1F1E"/>
    <w:rsid w:val="006D329F"/>
    <w:rsid w:val="006D32F6"/>
    <w:rsid w:val="006D4362"/>
    <w:rsid w:val="006D49AC"/>
    <w:rsid w:val="006D4A96"/>
    <w:rsid w:val="006D4AA0"/>
    <w:rsid w:val="006D4B3F"/>
    <w:rsid w:val="006D4C62"/>
    <w:rsid w:val="006D547A"/>
    <w:rsid w:val="006D554A"/>
    <w:rsid w:val="006D56A5"/>
    <w:rsid w:val="006D5A84"/>
    <w:rsid w:val="006D5B3B"/>
    <w:rsid w:val="006D5C23"/>
    <w:rsid w:val="006D60C2"/>
    <w:rsid w:val="006D629F"/>
    <w:rsid w:val="006D67E2"/>
    <w:rsid w:val="006D698F"/>
    <w:rsid w:val="006D6D66"/>
    <w:rsid w:val="006D712C"/>
    <w:rsid w:val="006D7ADA"/>
    <w:rsid w:val="006D7B17"/>
    <w:rsid w:val="006E0D0F"/>
    <w:rsid w:val="006E0EB4"/>
    <w:rsid w:val="006E1047"/>
    <w:rsid w:val="006E1373"/>
    <w:rsid w:val="006E16AE"/>
    <w:rsid w:val="006E1820"/>
    <w:rsid w:val="006E237B"/>
    <w:rsid w:val="006E29A5"/>
    <w:rsid w:val="006E2B1A"/>
    <w:rsid w:val="006E2B36"/>
    <w:rsid w:val="006E3552"/>
    <w:rsid w:val="006E3763"/>
    <w:rsid w:val="006E37A9"/>
    <w:rsid w:val="006E38D8"/>
    <w:rsid w:val="006E3A5D"/>
    <w:rsid w:val="006E4250"/>
    <w:rsid w:val="006E43AD"/>
    <w:rsid w:val="006E45C9"/>
    <w:rsid w:val="006E4C13"/>
    <w:rsid w:val="006E638A"/>
    <w:rsid w:val="006E6450"/>
    <w:rsid w:val="006E66B8"/>
    <w:rsid w:val="006E69CC"/>
    <w:rsid w:val="006E6A83"/>
    <w:rsid w:val="006E6BD0"/>
    <w:rsid w:val="006E6C7A"/>
    <w:rsid w:val="006E7200"/>
    <w:rsid w:val="006E7C12"/>
    <w:rsid w:val="006F07C5"/>
    <w:rsid w:val="006F0849"/>
    <w:rsid w:val="006F0A20"/>
    <w:rsid w:val="006F0BE7"/>
    <w:rsid w:val="006F0E5F"/>
    <w:rsid w:val="006F1312"/>
    <w:rsid w:val="006F1D3B"/>
    <w:rsid w:val="006F1D7D"/>
    <w:rsid w:val="006F1DDA"/>
    <w:rsid w:val="006F1EFB"/>
    <w:rsid w:val="006F265F"/>
    <w:rsid w:val="006F2755"/>
    <w:rsid w:val="006F32B3"/>
    <w:rsid w:val="006F3389"/>
    <w:rsid w:val="006F41C3"/>
    <w:rsid w:val="006F44B3"/>
    <w:rsid w:val="006F460E"/>
    <w:rsid w:val="006F4649"/>
    <w:rsid w:val="006F4DBC"/>
    <w:rsid w:val="006F5135"/>
    <w:rsid w:val="006F54CC"/>
    <w:rsid w:val="006F5528"/>
    <w:rsid w:val="006F552B"/>
    <w:rsid w:val="006F5782"/>
    <w:rsid w:val="006F5850"/>
    <w:rsid w:val="006F6039"/>
    <w:rsid w:val="006F6255"/>
    <w:rsid w:val="006F6453"/>
    <w:rsid w:val="006F6659"/>
    <w:rsid w:val="006F71DA"/>
    <w:rsid w:val="006F7553"/>
    <w:rsid w:val="006F79AB"/>
    <w:rsid w:val="006F7E8D"/>
    <w:rsid w:val="007005DF"/>
    <w:rsid w:val="0070081B"/>
    <w:rsid w:val="007009F8"/>
    <w:rsid w:val="00700C8C"/>
    <w:rsid w:val="0070113A"/>
    <w:rsid w:val="0070184A"/>
    <w:rsid w:val="00701A88"/>
    <w:rsid w:val="00701ACD"/>
    <w:rsid w:val="00701B21"/>
    <w:rsid w:val="00701D40"/>
    <w:rsid w:val="007024F0"/>
    <w:rsid w:val="007026C0"/>
    <w:rsid w:val="007026D6"/>
    <w:rsid w:val="00702909"/>
    <w:rsid w:val="00702CAC"/>
    <w:rsid w:val="007032DC"/>
    <w:rsid w:val="007032E8"/>
    <w:rsid w:val="00703E35"/>
    <w:rsid w:val="00704168"/>
    <w:rsid w:val="00704686"/>
    <w:rsid w:val="0070483F"/>
    <w:rsid w:val="00704C82"/>
    <w:rsid w:val="00704E4F"/>
    <w:rsid w:val="00705989"/>
    <w:rsid w:val="00705BDB"/>
    <w:rsid w:val="00705C33"/>
    <w:rsid w:val="00705FBF"/>
    <w:rsid w:val="007060FE"/>
    <w:rsid w:val="00706330"/>
    <w:rsid w:val="00706F15"/>
    <w:rsid w:val="00710043"/>
    <w:rsid w:val="00710138"/>
    <w:rsid w:val="007105EE"/>
    <w:rsid w:val="007109B3"/>
    <w:rsid w:val="00710A63"/>
    <w:rsid w:val="00710C6F"/>
    <w:rsid w:val="00710E30"/>
    <w:rsid w:val="0071128B"/>
    <w:rsid w:val="00711895"/>
    <w:rsid w:val="007119C8"/>
    <w:rsid w:val="00711ECE"/>
    <w:rsid w:val="00711FDE"/>
    <w:rsid w:val="007130A0"/>
    <w:rsid w:val="00713159"/>
    <w:rsid w:val="007133FE"/>
    <w:rsid w:val="00713598"/>
    <w:rsid w:val="0071382D"/>
    <w:rsid w:val="00713884"/>
    <w:rsid w:val="00713A65"/>
    <w:rsid w:val="00714100"/>
    <w:rsid w:val="00714199"/>
    <w:rsid w:val="007142F6"/>
    <w:rsid w:val="007149A9"/>
    <w:rsid w:val="00714DD2"/>
    <w:rsid w:val="00714DE0"/>
    <w:rsid w:val="00715B0A"/>
    <w:rsid w:val="00715CC6"/>
    <w:rsid w:val="0071610F"/>
    <w:rsid w:val="00716403"/>
    <w:rsid w:val="007166D2"/>
    <w:rsid w:val="00716880"/>
    <w:rsid w:val="00716A9D"/>
    <w:rsid w:val="00716AF5"/>
    <w:rsid w:val="007170CB"/>
    <w:rsid w:val="007174AD"/>
    <w:rsid w:val="007200B1"/>
    <w:rsid w:val="00720746"/>
    <w:rsid w:val="00720860"/>
    <w:rsid w:val="00720B93"/>
    <w:rsid w:val="00720E47"/>
    <w:rsid w:val="00721197"/>
    <w:rsid w:val="00721205"/>
    <w:rsid w:val="00721638"/>
    <w:rsid w:val="00721651"/>
    <w:rsid w:val="00721691"/>
    <w:rsid w:val="00721B73"/>
    <w:rsid w:val="007220CD"/>
    <w:rsid w:val="007223A3"/>
    <w:rsid w:val="00722486"/>
    <w:rsid w:val="00722829"/>
    <w:rsid w:val="00722C14"/>
    <w:rsid w:val="00723705"/>
    <w:rsid w:val="0072384A"/>
    <w:rsid w:val="007238C7"/>
    <w:rsid w:val="00724227"/>
    <w:rsid w:val="00724AC4"/>
    <w:rsid w:val="00724C04"/>
    <w:rsid w:val="00724C3A"/>
    <w:rsid w:val="00724F94"/>
    <w:rsid w:val="0072534C"/>
    <w:rsid w:val="0072540F"/>
    <w:rsid w:val="00725625"/>
    <w:rsid w:val="00725702"/>
    <w:rsid w:val="00725A9C"/>
    <w:rsid w:val="00726201"/>
    <w:rsid w:val="00726775"/>
    <w:rsid w:val="00727C3E"/>
    <w:rsid w:val="00727C66"/>
    <w:rsid w:val="0073032D"/>
    <w:rsid w:val="00730BFB"/>
    <w:rsid w:val="00730CC7"/>
    <w:rsid w:val="007314F8"/>
    <w:rsid w:val="00731535"/>
    <w:rsid w:val="00731622"/>
    <w:rsid w:val="0073165A"/>
    <w:rsid w:val="00731678"/>
    <w:rsid w:val="00731E16"/>
    <w:rsid w:val="00732242"/>
    <w:rsid w:val="00732754"/>
    <w:rsid w:val="0073345B"/>
    <w:rsid w:val="00733BB0"/>
    <w:rsid w:val="00733BB7"/>
    <w:rsid w:val="00736434"/>
    <w:rsid w:val="00736D52"/>
    <w:rsid w:val="00737584"/>
    <w:rsid w:val="007377F9"/>
    <w:rsid w:val="00737AC2"/>
    <w:rsid w:val="00740627"/>
    <w:rsid w:val="00740D0B"/>
    <w:rsid w:val="00741174"/>
    <w:rsid w:val="00741185"/>
    <w:rsid w:val="007411BA"/>
    <w:rsid w:val="00741476"/>
    <w:rsid w:val="00741869"/>
    <w:rsid w:val="00741A0D"/>
    <w:rsid w:val="0074205F"/>
    <w:rsid w:val="007420AA"/>
    <w:rsid w:val="0074248F"/>
    <w:rsid w:val="007428D4"/>
    <w:rsid w:val="00742B89"/>
    <w:rsid w:val="00742C0B"/>
    <w:rsid w:val="00743050"/>
    <w:rsid w:val="0074383C"/>
    <w:rsid w:val="00743BFF"/>
    <w:rsid w:val="0074418E"/>
    <w:rsid w:val="007441AA"/>
    <w:rsid w:val="00744662"/>
    <w:rsid w:val="00744948"/>
    <w:rsid w:val="00745870"/>
    <w:rsid w:val="00745A36"/>
    <w:rsid w:val="00745E4A"/>
    <w:rsid w:val="007464DE"/>
    <w:rsid w:val="007465DD"/>
    <w:rsid w:val="00746D09"/>
    <w:rsid w:val="00746DD4"/>
    <w:rsid w:val="0074784F"/>
    <w:rsid w:val="007479EF"/>
    <w:rsid w:val="00747DBC"/>
    <w:rsid w:val="00750167"/>
    <w:rsid w:val="00750388"/>
    <w:rsid w:val="00750441"/>
    <w:rsid w:val="0075076B"/>
    <w:rsid w:val="00750B87"/>
    <w:rsid w:val="00750BBA"/>
    <w:rsid w:val="00750E3B"/>
    <w:rsid w:val="00751779"/>
    <w:rsid w:val="00751A4A"/>
    <w:rsid w:val="00751CB1"/>
    <w:rsid w:val="00751E0A"/>
    <w:rsid w:val="00752B7D"/>
    <w:rsid w:val="00752BD0"/>
    <w:rsid w:val="00753014"/>
    <w:rsid w:val="00753325"/>
    <w:rsid w:val="00753466"/>
    <w:rsid w:val="00753575"/>
    <w:rsid w:val="0075387F"/>
    <w:rsid w:val="007538D7"/>
    <w:rsid w:val="0075401E"/>
    <w:rsid w:val="00754057"/>
    <w:rsid w:val="0075426C"/>
    <w:rsid w:val="00754659"/>
    <w:rsid w:val="007549D5"/>
    <w:rsid w:val="00754B26"/>
    <w:rsid w:val="00754C00"/>
    <w:rsid w:val="00755054"/>
    <w:rsid w:val="007558B2"/>
    <w:rsid w:val="00755922"/>
    <w:rsid w:val="00755C4F"/>
    <w:rsid w:val="00755D63"/>
    <w:rsid w:val="00755E8C"/>
    <w:rsid w:val="00755F24"/>
    <w:rsid w:val="0075620D"/>
    <w:rsid w:val="007562A4"/>
    <w:rsid w:val="0075653A"/>
    <w:rsid w:val="0075669C"/>
    <w:rsid w:val="00756949"/>
    <w:rsid w:val="00756EA1"/>
    <w:rsid w:val="00756FA2"/>
    <w:rsid w:val="007570EA"/>
    <w:rsid w:val="007577E3"/>
    <w:rsid w:val="00757AFA"/>
    <w:rsid w:val="00757CF9"/>
    <w:rsid w:val="00760556"/>
    <w:rsid w:val="00760A57"/>
    <w:rsid w:val="00760A76"/>
    <w:rsid w:val="00760B57"/>
    <w:rsid w:val="0076168A"/>
    <w:rsid w:val="00761785"/>
    <w:rsid w:val="007618BB"/>
    <w:rsid w:val="0076191A"/>
    <w:rsid w:val="007621B2"/>
    <w:rsid w:val="0076244C"/>
    <w:rsid w:val="00762627"/>
    <w:rsid w:val="00762695"/>
    <w:rsid w:val="00762831"/>
    <w:rsid w:val="00762F01"/>
    <w:rsid w:val="00763581"/>
    <w:rsid w:val="00763A58"/>
    <w:rsid w:val="00763BBB"/>
    <w:rsid w:val="00763F19"/>
    <w:rsid w:val="0076436E"/>
    <w:rsid w:val="0076447C"/>
    <w:rsid w:val="0076463A"/>
    <w:rsid w:val="00764FC1"/>
    <w:rsid w:val="007651E9"/>
    <w:rsid w:val="0076596A"/>
    <w:rsid w:val="00766537"/>
    <w:rsid w:val="007665A0"/>
    <w:rsid w:val="00766930"/>
    <w:rsid w:val="0076732F"/>
    <w:rsid w:val="007676A3"/>
    <w:rsid w:val="007679CC"/>
    <w:rsid w:val="00767B6E"/>
    <w:rsid w:val="00770433"/>
    <w:rsid w:val="00770DD5"/>
    <w:rsid w:val="007716FE"/>
    <w:rsid w:val="00771986"/>
    <w:rsid w:val="00771CC1"/>
    <w:rsid w:val="00771D68"/>
    <w:rsid w:val="007720E2"/>
    <w:rsid w:val="007726E3"/>
    <w:rsid w:val="00772C7E"/>
    <w:rsid w:val="007730AD"/>
    <w:rsid w:val="00773707"/>
    <w:rsid w:val="00773DB2"/>
    <w:rsid w:val="007741C6"/>
    <w:rsid w:val="00774760"/>
    <w:rsid w:val="00774FD6"/>
    <w:rsid w:val="007750A8"/>
    <w:rsid w:val="0077531B"/>
    <w:rsid w:val="00775C6A"/>
    <w:rsid w:val="00776B70"/>
    <w:rsid w:val="00776C6B"/>
    <w:rsid w:val="00776F5E"/>
    <w:rsid w:val="00777E02"/>
    <w:rsid w:val="00777FC8"/>
    <w:rsid w:val="0078088D"/>
    <w:rsid w:val="00780C10"/>
    <w:rsid w:val="007811EE"/>
    <w:rsid w:val="007813FD"/>
    <w:rsid w:val="00781422"/>
    <w:rsid w:val="0078180D"/>
    <w:rsid w:val="00781EEF"/>
    <w:rsid w:val="00781FA5"/>
    <w:rsid w:val="00782936"/>
    <w:rsid w:val="00782C2E"/>
    <w:rsid w:val="00782CB2"/>
    <w:rsid w:val="00782E60"/>
    <w:rsid w:val="00783061"/>
    <w:rsid w:val="00783131"/>
    <w:rsid w:val="007834B3"/>
    <w:rsid w:val="00783607"/>
    <w:rsid w:val="00783B67"/>
    <w:rsid w:val="007840C8"/>
    <w:rsid w:val="0078428E"/>
    <w:rsid w:val="007844B0"/>
    <w:rsid w:val="00784F7E"/>
    <w:rsid w:val="00785371"/>
    <w:rsid w:val="00785485"/>
    <w:rsid w:val="00785826"/>
    <w:rsid w:val="00785922"/>
    <w:rsid w:val="007859CD"/>
    <w:rsid w:val="007859D8"/>
    <w:rsid w:val="00785CBD"/>
    <w:rsid w:val="00785F2E"/>
    <w:rsid w:val="0078616D"/>
    <w:rsid w:val="00786446"/>
    <w:rsid w:val="007867FA"/>
    <w:rsid w:val="00786E47"/>
    <w:rsid w:val="00786F76"/>
    <w:rsid w:val="0078711C"/>
    <w:rsid w:val="007873EC"/>
    <w:rsid w:val="00787ABC"/>
    <w:rsid w:val="00787F0D"/>
    <w:rsid w:val="007902A4"/>
    <w:rsid w:val="00790371"/>
    <w:rsid w:val="00790C62"/>
    <w:rsid w:val="00790DCB"/>
    <w:rsid w:val="00790E98"/>
    <w:rsid w:val="00791DFD"/>
    <w:rsid w:val="00791E78"/>
    <w:rsid w:val="00791F10"/>
    <w:rsid w:val="00791FB1"/>
    <w:rsid w:val="00792103"/>
    <w:rsid w:val="0079227F"/>
    <w:rsid w:val="0079278F"/>
    <w:rsid w:val="00792B66"/>
    <w:rsid w:val="00792F6A"/>
    <w:rsid w:val="007932FA"/>
    <w:rsid w:val="00793532"/>
    <w:rsid w:val="007936EB"/>
    <w:rsid w:val="0079375D"/>
    <w:rsid w:val="00793905"/>
    <w:rsid w:val="00793B3F"/>
    <w:rsid w:val="00794187"/>
    <w:rsid w:val="007941DA"/>
    <w:rsid w:val="00794E05"/>
    <w:rsid w:val="00794E0C"/>
    <w:rsid w:val="0079513D"/>
    <w:rsid w:val="00795274"/>
    <w:rsid w:val="0079537D"/>
    <w:rsid w:val="007953AD"/>
    <w:rsid w:val="00795B9A"/>
    <w:rsid w:val="00796998"/>
    <w:rsid w:val="00796C04"/>
    <w:rsid w:val="00797192"/>
    <w:rsid w:val="0079749C"/>
    <w:rsid w:val="007974D3"/>
    <w:rsid w:val="00797879"/>
    <w:rsid w:val="00797A77"/>
    <w:rsid w:val="00797A95"/>
    <w:rsid w:val="00797DA6"/>
    <w:rsid w:val="007A009F"/>
    <w:rsid w:val="007A0181"/>
    <w:rsid w:val="007A02C8"/>
    <w:rsid w:val="007A054B"/>
    <w:rsid w:val="007A092E"/>
    <w:rsid w:val="007A0EA7"/>
    <w:rsid w:val="007A14D7"/>
    <w:rsid w:val="007A1722"/>
    <w:rsid w:val="007A17D9"/>
    <w:rsid w:val="007A1864"/>
    <w:rsid w:val="007A1C1D"/>
    <w:rsid w:val="007A2437"/>
    <w:rsid w:val="007A2D80"/>
    <w:rsid w:val="007A2F0C"/>
    <w:rsid w:val="007A301D"/>
    <w:rsid w:val="007A30DC"/>
    <w:rsid w:val="007A3A04"/>
    <w:rsid w:val="007A3DDC"/>
    <w:rsid w:val="007A3FAA"/>
    <w:rsid w:val="007A4149"/>
    <w:rsid w:val="007A4538"/>
    <w:rsid w:val="007A47E6"/>
    <w:rsid w:val="007A48C1"/>
    <w:rsid w:val="007A54A9"/>
    <w:rsid w:val="007A589A"/>
    <w:rsid w:val="007A5C2A"/>
    <w:rsid w:val="007A6928"/>
    <w:rsid w:val="007A6B9A"/>
    <w:rsid w:val="007A6CD4"/>
    <w:rsid w:val="007A7425"/>
    <w:rsid w:val="007A76CD"/>
    <w:rsid w:val="007A7F70"/>
    <w:rsid w:val="007B00C2"/>
    <w:rsid w:val="007B04D9"/>
    <w:rsid w:val="007B06C1"/>
    <w:rsid w:val="007B083C"/>
    <w:rsid w:val="007B0E7A"/>
    <w:rsid w:val="007B0EA0"/>
    <w:rsid w:val="007B112B"/>
    <w:rsid w:val="007B1340"/>
    <w:rsid w:val="007B15BE"/>
    <w:rsid w:val="007B186E"/>
    <w:rsid w:val="007B2126"/>
    <w:rsid w:val="007B2224"/>
    <w:rsid w:val="007B26D2"/>
    <w:rsid w:val="007B2A5B"/>
    <w:rsid w:val="007B2BBC"/>
    <w:rsid w:val="007B30FF"/>
    <w:rsid w:val="007B3242"/>
    <w:rsid w:val="007B3524"/>
    <w:rsid w:val="007B35AF"/>
    <w:rsid w:val="007B36AD"/>
    <w:rsid w:val="007B3898"/>
    <w:rsid w:val="007B3A78"/>
    <w:rsid w:val="007B3B7E"/>
    <w:rsid w:val="007B4E30"/>
    <w:rsid w:val="007B4FF3"/>
    <w:rsid w:val="007B53E5"/>
    <w:rsid w:val="007B5763"/>
    <w:rsid w:val="007B5907"/>
    <w:rsid w:val="007B5EBA"/>
    <w:rsid w:val="007B6D98"/>
    <w:rsid w:val="007B70FB"/>
    <w:rsid w:val="007B748C"/>
    <w:rsid w:val="007B78A2"/>
    <w:rsid w:val="007C0362"/>
    <w:rsid w:val="007C0382"/>
    <w:rsid w:val="007C04D7"/>
    <w:rsid w:val="007C0A80"/>
    <w:rsid w:val="007C1072"/>
    <w:rsid w:val="007C142A"/>
    <w:rsid w:val="007C14A5"/>
    <w:rsid w:val="007C1C58"/>
    <w:rsid w:val="007C1F67"/>
    <w:rsid w:val="007C35C3"/>
    <w:rsid w:val="007C3960"/>
    <w:rsid w:val="007C3C7A"/>
    <w:rsid w:val="007C418C"/>
    <w:rsid w:val="007C42BA"/>
    <w:rsid w:val="007C48DA"/>
    <w:rsid w:val="007C5125"/>
    <w:rsid w:val="007C573A"/>
    <w:rsid w:val="007C5967"/>
    <w:rsid w:val="007C6182"/>
    <w:rsid w:val="007C65E8"/>
    <w:rsid w:val="007C69FD"/>
    <w:rsid w:val="007C752D"/>
    <w:rsid w:val="007D007F"/>
    <w:rsid w:val="007D07B2"/>
    <w:rsid w:val="007D07F3"/>
    <w:rsid w:val="007D0E23"/>
    <w:rsid w:val="007D1222"/>
    <w:rsid w:val="007D14CF"/>
    <w:rsid w:val="007D14E8"/>
    <w:rsid w:val="007D1DA4"/>
    <w:rsid w:val="007D244F"/>
    <w:rsid w:val="007D29A4"/>
    <w:rsid w:val="007D29D3"/>
    <w:rsid w:val="007D2E8C"/>
    <w:rsid w:val="007D36A7"/>
    <w:rsid w:val="007D3827"/>
    <w:rsid w:val="007D3CD8"/>
    <w:rsid w:val="007D408C"/>
    <w:rsid w:val="007D425C"/>
    <w:rsid w:val="007D46CD"/>
    <w:rsid w:val="007D4C5A"/>
    <w:rsid w:val="007D50FF"/>
    <w:rsid w:val="007D5184"/>
    <w:rsid w:val="007D566B"/>
    <w:rsid w:val="007D5D9F"/>
    <w:rsid w:val="007D65EB"/>
    <w:rsid w:val="007D69C0"/>
    <w:rsid w:val="007D6AB2"/>
    <w:rsid w:val="007D717D"/>
    <w:rsid w:val="007D7C0A"/>
    <w:rsid w:val="007E030B"/>
    <w:rsid w:val="007E09DD"/>
    <w:rsid w:val="007E0ABB"/>
    <w:rsid w:val="007E0CD5"/>
    <w:rsid w:val="007E0FF8"/>
    <w:rsid w:val="007E1229"/>
    <w:rsid w:val="007E1778"/>
    <w:rsid w:val="007E1DE4"/>
    <w:rsid w:val="007E239B"/>
    <w:rsid w:val="007E26AE"/>
    <w:rsid w:val="007E2C69"/>
    <w:rsid w:val="007E39ED"/>
    <w:rsid w:val="007E3BA0"/>
    <w:rsid w:val="007E3E99"/>
    <w:rsid w:val="007E451B"/>
    <w:rsid w:val="007E4946"/>
    <w:rsid w:val="007E4AEC"/>
    <w:rsid w:val="007E4D95"/>
    <w:rsid w:val="007E4F1D"/>
    <w:rsid w:val="007E57A6"/>
    <w:rsid w:val="007E5A5B"/>
    <w:rsid w:val="007E60F0"/>
    <w:rsid w:val="007E67D0"/>
    <w:rsid w:val="007E6B4A"/>
    <w:rsid w:val="007E6C59"/>
    <w:rsid w:val="007E6F56"/>
    <w:rsid w:val="007E706F"/>
    <w:rsid w:val="007E707F"/>
    <w:rsid w:val="007E7F22"/>
    <w:rsid w:val="007F007B"/>
    <w:rsid w:val="007F0641"/>
    <w:rsid w:val="007F0CA4"/>
    <w:rsid w:val="007F1151"/>
    <w:rsid w:val="007F122B"/>
    <w:rsid w:val="007F13B3"/>
    <w:rsid w:val="007F1411"/>
    <w:rsid w:val="007F165A"/>
    <w:rsid w:val="007F1DA0"/>
    <w:rsid w:val="007F23CB"/>
    <w:rsid w:val="007F264F"/>
    <w:rsid w:val="007F2DAE"/>
    <w:rsid w:val="007F2F49"/>
    <w:rsid w:val="007F2F54"/>
    <w:rsid w:val="007F2F65"/>
    <w:rsid w:val="007F3038"/>
    <w:rsid w:val="007F30B6"/>
    <w:rsid w:val="007F3270"/>
    <w:rsid w:val="007F32FE"/>
    <w:rsid w:val="007F37DF"/>
    <w:rsid w:val="007F3BED"/>
    <w:rsid w:val="007F4895"/>
    <w:rsid w:val="007F4A25"/>
    <w:rsid w:val="007F5819"/>
    <w:rsid w:val="007F58FB"/>
    <w:rsid w:val="007F5F6A"/>
    <w:rsid w:val="007F6642"/>
    <w:rsid w:val="007F6A19"/>
    <w:rsid w:val="007F6C1E"/>
    <w:rsid w:val="007F6D2F"/>
    <w:rsid w:val="007F7166"/>
    <w:rsid w:val="007F71E4"/>
    <w:rsid w:val="007F7507"/>
    <w:rsid w:val="007F7ACF"/>
    <w:rsid w:val="007F7C79"/>
    <w:rsid w:val="0080008D"/>
    <w:rsid w:val="00800214"/>
    <w:rsid w:val="008009F2"/>
    <w:rsid w:val="00800A28"/>
    <w:rsid w:val="00801748"/>
    <w:rsid w:val="008020DD"/>
    <w:rsid w:val="008035D0"/>
    <w:rsid w:val="00803FCE"/>
    <w:rsid w:val="00804E3F"/>
    <w:rsid w:val="00805060"/>
    <w:rsid w:val="00805483"/>
    <w:rsid w:val="008058B1"/>
    <w:rsid w:val="008063E1"/>
    <w:rsid w:val="00807044"/>
    <w:rsid w:val="008072E4"/>
    <w:rsid w:val="0081085D"/>
    <w:rsid w:val="00810A4B"/>
    <w:rsid w:val="00810CA6"/>
    <w:rsid w:val="00810D0B"/>
    <w:rsid w:val="00811086"/>
    <w:rsid w:val="008110A2"/>
    <w:rsid w:val="008113CC"/>
    <w:rsid w:val="00812846"/>
    <w:rsid w:val="008128B7"/>
    <w:rsid w:val="00812F87"/>
    <w:rsid w:val="00813605"/>
    <w:rsid w:val="0081382C"/>
    <w:rsid w:val="0081405E"/>
    <w:rsid w:val="00814250"/>
    <w:rsid w:val="008143A1"/>
    <w:rsid w:val="00814951"/>
    <w:rsid w:val="00814AF7"/>
    <w:rsid w:val="00814C77"/>
    <w:rsid w:val="00815028"/>
    <w:rsid w:val="00815111"/>
    <w:rsid w:val="00815F29"/>
    <w:rsid w:val="00816069"/>
    <w:rsid w:val="0081665D"/>
    <w:rsid w:val="00816E4D"/>
    <w:rsid w:val="00816EBE"/>
    <w:rsid w:val="00816F44"/>
    <w:rsid w:val="00816FCD"/>
    <w:rsid w:val="00817583"/>
    <w:rsid w:val="00817850"/>
    <w:rsid w:val="00820040"/>
    <w:rsid w:val="0082014E"/>
    <w:rsid w:val="00820A92"/>
    <w:rsid w:val="00821358"/>
    <w:rsid w:val="008218D0"/>
    <w:rsid w:val="00821AC0"/>
    <w:rsid w:val="00821DE8"/>
    <w:rsid w:val="008223B3"/>
    <w:rsid w:val="008224A7"/>
    <w:rsid w:val="00822B1E"/>
    <w:rsid w:val="0082342B"/>
    <w:rsid w:val="00823937"/>
    <w:rsid w:val="00823A8A"/>
    <w:rsid w:val="00823A9E"/>
    <w:rsid w:val="00823AFD"/>
    <w:rsid w:val="00823B4B"/>
    <w:rsid w:val="00823E8C"/>
    <w:rsid w:val="00823F36"/>
    <w:rsid w:val="008251CF"/>
    <w:rsid w:val="00825571"/>
    <w:rsid w:val="00825931"/>
    <w:rsid w:val="00825F94"/>
    <w:rsid w:val="0082600E"/>
    <w:rsid w:val="00826103"/>
    <w:rsid w:val="00826668"/>
    <w:rsid w:val="00826C8F"/>
    <w:rsid w:val="00826D96"/>
    <w:rsid w:val="00827000"/>
    <w:rsid w:val="008277CA"/>
    <w:rsid w:val="00827AD4"/>
    <w:rsid w:val="008301BB"/>
    <w:rsid w:val="00830DCF"/>
    <w:rsid w:val="00831077"/>
    <w:rsid w:val="0083166C"/>
    <w:rsid w:val="008316AC"/>
    <w:rsid w:val="0083176F"/>
    <w:rsid w:val="008319CF"/>
    <w:rsid w:val="00831A66"/>
    <w:rsid w:val="00831B3D"/>
    <w:rsid w:val="008324AA"/>
    <w:rsid w:val="00833007"/>
    <w:rsid w:val="008331AD"/>
    <w:rsid w:val="00833699"/>
    <w:rsid w:val="008339EF"/>
    <w:rsid w:val="00833FFC"/>
    <w:rsid w:val="00834497"/>
    <w:rsid w:val="008356BF"/>
    <w:rsid w:val="008362E5"/>
    <w:rsid w:val="00836844"/>
    <w:rsid w:val="00836AD9"/>
    <w:rsid w:val="00836AF6"/>
    <w:rsid w:val="00836E10"/>
    <w:rsid w:val="00836F42"/>
    <w:rsid w:val="00837C97"/>
    <w:rsid w:val="00837F29"/>
    <w:rsid w:val="00840DCD"/>
    <w:rsid w:val="00840F14"/>
    <w:rsid w:val="00841543"/>
    <w:rsid w:val="00841B12"/>
    <w:rsid w:val="00841D1A"/>
    <w:rsid w:val="0084204F"/>
    <w:rsid w:val="00842C36"/>
    <w:rsid w:val="00843668"/>
    <w:rsid w:val="00844B0D"/>
    <w:rsid w:val="00844CCA"/>
    <w:rsid w:val="00844F46"/>
    <w:rsid w:val="00845478"/>
    <w:rsid w:val="00845B48"/>
    <w:rsid w:val="0084665E"/>
    <w:rsid w:val="008467A9"/>
    <w:rsid w:val="00846D31"/>
    <w:rsid w:val="00846F8E"/>
    <w:rsid w:val="00847B8D"/>
    <w:rsid w:val="00847C53"/>
    <w:rsid w:val="00847EDD"/>
    <w:rsid w:val="00850145"/>
    <w:rsid w:val="00850321"/>
    <w:rsid w:val="0085038F"/>
    <w:rsid w:val="008507DF"/>
    <w:rsid w:val="00850808"/>
    <w:rsid w:val="00850858"/>
    <w:rsid w:val="00850966"/>
    <w:rsid w:val="00850AEC"/>
    <w:rsid w:val="00850B85"/>
    <w:rsid w:val="00850C28"/>
    <w:rsid w:val="00851B66"/>
    <w:rsid w:val="00851DF3"/>
    <w:rsid w:val="008521C8"/>
    <w:rsid w:val="00852265"/>
    <w:rsid w:val="00852288"/>
    <w:rsid w:val="00852A03"/>
    <w:rsid w:val="00852DED"/>
    <w:rsid w:val="00852E60"/>
    <w:rsid w:val="00853030"/>
    <w:rsid w:val="00853F83"/>
    <w:rsid w:val="0085400D"/>
    <w:rsid w:val="00854062"/>
    <w:rsid w:val="00854789"/>
    <w:rsid w:val="00854BAA"/>
    <w:rsid w:val="00855089"/>
    <w:rsid w:val="0085575A"/>
    <w:rsid w:val="008559B5"/>
    <w:rsid w:val="00855A02"/>
    <w:rsid w:val="008563F0"/>
    <w:rsid w:val="00856B9B"/>
    <w:rsid w:val="008575C8"/>
    <w:rsid w:val="00857AAF"/>
    <w:rsid w:val="0086031E"/>
    <w:rsid w:val="0086070D"/>
    <w:rsid w:val="00860DB6"/>
    <w:rsid w:val="00861352"/>
    <w:rsid w:val="0086148E"/>
    <w:rsid w:val="00861921"/>
    <w:rsid w:val="00861B28"/>
    <w:rsid w:val="00861E04"/>
    <w:rsid w:val="008624C1"/>
    <w:rsid w:val="0086297B"/>
    <w:rsid w:val="0086397C"/>
    <w:rsid w:val="0086406C"/>
    <w:rsid w:val="008648DF"/>
    <w:rsid w:val="00864A0C"/>
    <w:rsid w:val="00864A8B"/>
    <w:rsid w:val="008658E9"/>
    <w:rsid w:val="00865CB3"/>
    <w:rsid w:val="008663E4"/>
    <w:rsid w:val="00866F6B"/>
    <w:rsid w:val="00866FB6"/>
    <w:rsid w:val="0086715E"/>
    <w:rsid w:val="00867227"/>
    <w:rsid w:val="00867330"/>
    <w:rsid w:val="008674A9"/>
    <w:rsid w:val="00867E22"/>
    <w:rsid w:val="00867ED8"/>
    <w:rsid w:val="0087023C"/>
    <w:rsid w:val="008702D2"/>
    <w:rsid w:val="0087096F"/>
    <w:rsid w:val="008714DD"/>
    <w:rsid w:val="00871A3D"/>
    <w:rsid w:val="00871B62"/>
    <w:rsid w:val="00871F3E"/>
    <w:rsid w:val="00872341"/>
    <w:rsid w:val="00872EFF"/>
    <w:rsid w:val="00873322"/>
    <w:rsid w:val="00873734"/>
    <w:rsid w:val="008737C9"/>
    <w:rsid w:val="00873CE6"/>
    <w:rsid w:val="00873E56"/>
    <w:rsid w:val="008740F3"/>
    <w:rsid w:val="00874E00"/>
    <w:rsid w:val="00875423"/>
    <w:rsid w:val="008755BA"/>
    <w:rsid w:val="00875D05"/>
    <w:rsid w:val="00875D4D"/>
    <w:rsid w:val="00876108"/>
    <w:rsid w:val="0087647F"/>
    <w:rsid w:val="008768D7"/>
    <w:rsid w:val="00876E82"/>
    <w:rsid w:val="00877340"/>
    <w:rsid w:val="008773A4"/>
    <w:rsid w:val="00877494"/>
    <w:rsid w:val="00877815"/>
    <w:rsid w:val="00880D1A"/>
    <w:rsid w:val="00880ECC"/>
    <w:rsid w:val="00881208"/>
    <w:rsid w:val="0088132F"/>
    <w:rsid w:val="00881413"/>
    <w:rsid w:val="00881861"/>
    <w:rsid w:val="00881C20"/>
    <w:rsid w:val="0088205C"/>
    <w:rsid w:val="00882304"/>
    <w:rsid w:val="00882495"/>
    <w:rsid w:val="00882775"/>
    <w:rsid w:val="00882854"/>
    <w:rsid w:val="008833EA"/>
    <w:rsid w:val="00883A45"/>
    <w:rsid w:val="00884075"/>
    <w:rsid w:val="008847F5"/>
    <w:rsid w:val="00884C9E"/>
    <w:rsid w:val="00884ED0"/>
    <w:rsid w:val="00884EE5"/>
    <w:rsid w:val="008852E2"/>
    <w:rsid w:val="00885BCA"/>
    <w:rsid w:val="00885C57"/>
    <w:rsid w:val="00885D57"/>
    <w:rsid w:val="00886202"/>
    <w:rsid w:val="008863D0"/>
    <w:rsid w:val="0088653A"/>
    <w:rsid w:val="00886559"/>
    <w:rsid w:val="008866B3"/>
    <w:rsid w:val="008866E3"/>
    <w:rsid w:val="00886728"/>
    <w:rsid w:val="00886744"/>
    <w:rsid w:val="00886AD4"/>
    <w:rsid w:val="00887326"/>
    <w:rsid w:val="008876CE"/>
    <w:rsid w:val="00887A92"/>
    <w:rsid w:val="00887CD8"/>
    <w:rsid w:val="00887DB2"/>
    <w:rsid w:val="008904D4"/>
    <w:rsid w:val="00890CB2"/>
    <w:rsid w:val="00890D3F"/>
    <w:rsid w:val="0089177C"/>
    <w:rsid w:val="00891EC9"/>
    <w:rsid w:val="00892698"/>
    <w:rsid w:val="008928A7"/>
    <w:rsid w:val="00892DE1"/>
    <w:rsid w:val="0089322A"/>
    <w:rsid w:val="00893A9E"/>
    <w:rsid w:val="00893F4C"/>
    <w:rsid w:val="008942C0"/>
    <w:rsid w:val="008944F2"/>
    <w:rsid w:val="0089478B"/>
    <w:rsid w:val="00894AE1"/>
    <w:rsid w:val="00894E2D"/>
    <w:rsid w:val="00895126"/>
    <w:rsid w:val="00895C38"/>
    <w:rsid w:val="008962EF"/>
    <w:rsid w:val="00896944"/>
    <w:rsid w:val="00896FBA"/>
    <w:rsid w:val="008975DD"/>
    <w:rsid w:val="008A095E"/>
    <w:rsid w:val="008A0AC1"/>
    <w:rsid w:val="008A0B82"/>
    <w:rsid w:val="008A0D2B"/>
    <w:rsid w:val="008A0D58"/>
    <w:rsid w:val="008A10F4"/>
    <w:rsid w:val="008A1499"/>
    <w:rsid w:val="008A29DB"/>
    <w:rsid w:val="008A2E42"/>
    <w:rsid w:val="008A2EC4"/>
    <w:rsid w:val="008A3A44"/>
    <w:rsid w:val="008A4962"/>
    <w:rsid w:val="008A4A61"/>
    <w:rsid w:val="008A4C71"/>
    <w:rsid w:val="008A4FEF"/>
    <w:rsid w:val="008A526B"/>
    <w:rsid w:val="008A5607"/>
    <w:rsid w:val="008A5A7E"/>
    <w:rsid w:val="008A5F8E"/>
    <w:rsid w:val="008A6376"/>
    <w:rsid w:val="008A6840"/>
    <w:rsid w:val="008A68B9"/>
    <w:rsid w:val="008A6A61"/>
    <w:rsid w:val="008A6BFF"/>
    <w:rsid w:val="008A6ECC"/>
    <w:rsid w:val="008A6F4C"/>
    <w:rsid w:val="008A707A"/>
    <w:rsid w:val="008A7423"/>
    <w:rsid w:val="008A745F"/>
    <w:rsid w:val="008A74F3"/>
    <w:rsid w:val="008B017C"/>
    <w:rsid w:val="008B0203"/>
    <w:rsid w:val="008B047A"/>
    <w:rsid w:val="008B077B"/>
    <w:rsid w:val="008B0A9A"/>
    <w:rsid w:val="008B0AEC"/>
    <w:rsid w:val="008B0CDA"/>
    <w:rsid w:val="008B1A12"/>
    <w:rsid w:val="008B1BFB"/>
    <w:rsid w:val="008B1D76"/>
    <w:rsid w:val="008B2529"/>
    <w:rsid w:val="008B2A9D"/>
    <w:rsid w:val="008B30A9"/>
    <w:rsid w:val="008B3AED"/>
    <w:rsid w:val="008B43AD"/>
    <w:rsid w:val="008B43E1"/>
    <w:rsid w:val="008B4798"/>
    <w:rsid w:val="008B4956"/>
    <w:rsid w:val="008B4A57"/>
    <w:rsid w:val="008B5599"/>
    <w:rsid w:val="008B60AB"/>
    <w:rsid w:val="008B6884"/>
    <w:rsid w:val="008B697F"/>
    <w:rsid w:val="008B6C7E"/>
    <w:rsid w:val="008B6DDB"/>
    <w:rsid w:val="008B6E1B"/>
    <w:rsid w:val="008B71AB"/>
    <w:rsid w:val="008B73FA"/>
    <w:rsid w:val="008B74D9"/>
    <w:rsid w:val="008B7759"/>
    <w:rsid w:val="008B7C99"/>
    <w:rsid w:val="008B7D50"/>
    <w:rsid w:val="008C0129"/>
    <w:rsid w:val="008C08CD"/>
    <w:rsid w:val="008C091A"/>
    <w:rsid w:val="008C0B10"/>
    <w:rsid w:val="008C0B31"/>
    <w:rsid w:val="008C1098"/>
    <w:rsid w:val="008C1BC5"/>
    <w:rsid w:val="008C1C2C"/>
    <w:rsid w:val="008C2345"/>
    <w:rsid w:val="008C2C69"/>
    <w:rsid w:val="008C2F3C"/>
    <w:rsid w:val="008C32E0"/>
    <w:rsid w:val="008C33ED"/>
    <w:rsid w:val="008C3844"/>
    <w:rsid w:val="008C388C"/>
    <w:rsid w:val="008C4333"/>
    <w:rsid w:val="008C4A60"/>
    <w:rsid w:val="008C5A14"/>
    <w:rsid w:val="008C5B0F"/>
    <w:rsid w:val="008C5BC3"/>
    <w:rsid w:val="008C61A1"/>
    <w:rsid w:val="008C654A"/>
    <w:rsid w:val="008C6D6F"/>
    <w:rsid w:val="008C7786"/>
    <w:rsid w:val="008D0075"/>
    <w:rsid w:val="008D027C"/>
    <w:rsid w:val="008D03A7"/>
    <w:rsid w:val="008D0ADA"/>
    <w:rsid w:val="008D0F43"/>
    <w:rsid w:val="008D1266"/>
    <w:rsid w:val="008D1935"/>
    <w:rsid w:val="008D1F1F"/>
    <w:rsid w:val="008D1FDF"/>
    <w:rsid w:val="008D2F42"/>
    <w:rsid w:val="008D3723"/>
    <w:rsid w:val="008D3ED7"/>
    <w:rsid w:val="008D41FA"/>
    <w:rsid w:val="008D44C7"/>
    <w:rsid w:val="008D49F8"/>
    <w:rsid w:val="008D4AB4"/>
    <w:rsid w:val="008D4D0A"/>
    <w:rsid w:val="008D5301"/>
    <w:rsid w:val="008D5342"/>
    <w:rsid w:val="008D53A4"/>
    <w:rsid w:val="008D53AD"/>
    <w:rsid w:val="008D6124"/>
    <w:rsid w:val="008D62DF"/>
    <w:rsid w:val="008D67C7"/>
    <w:rsid w:val="008D7183"/>
    <w:rsid w:val="008D7BFA"/>
    <w:rsid w:val="008D7C78"/>
    <w:rsid w:val="008D7F41"/>
    <w:rsid w:val="008E001E"/>
    <w:rsid w:val="008E0437"/>
    <w:rsid w:val="008E056A"/>
    <w:rsid w:val="008E06AE"/>
    <w:rsid w:val="008E0859"/>
    <w:rsid w:val="008E0F24"/>
    <w:rsid w:val="008E0FA2"/>
    <w:rsid w:val="008E2293"/>
    <w:rsid w:val="008E26EB"/>
    <w:rsid w:val="008E2751"/>
    <w:rsid w:val="008E27C5"/>
    <w:rsid w:val="008E27DB"/>
    <w:rsid w:val="008E2945"/>
    <w:rsid w:val="008E2962"/>
    <w:rsid w:val="008E29AA"/>
    <w:rsid w:val="008E31DB"/>
    <w:rsid w:val="008E3AFA"/>
    <w:rsid w:val="008E3BF4"/>
    <w:rsid w:val="008E3D65"/>
    <w:rsid w:val="008E4076"/>
    <w:rsid w:val="008E4422"/>
    <w:rsid w:val="008E45CB"/>
    <w:rsid w:val="008E483E"/>
    <w:rsid w:val="008E4A0E"/>
    <w:rsid w:val="008E4C42"/>
    <w:rsid w:val="008E56F9"/>
    <w:rsid w:val="008E5841"/>
    <w:rsid w:val="008E5B7F"/>
    <w:rsid w:val="008E602F"/>
    <w:rsid w:val="008E61DC"/>
    <w:rsid w:val="008E61F7"/>
    <w:rsid w:val="008E7073"/>
    <w:rsid w:val="008E70CC"/>
    <w:rsid w:val="008E74B9"/>
    <w:rsid w:val="008E78B7"/>
    <w:rsid w:val="008E78EA"/>
    <w:rsid w:val="008F0374"/>
    <w:rsid w:val="008F0529"/>
    <w:rsid w:val="008F07CD"/>
    <w:rsid w:val="008F0C42"/>
    <w:rsid w:val="008F0D86"/>
    <w:rsid w:val="008F0F03"/>
    <w:rsid w:val="008F1560"/>
    <w:rsid w:val="008F17FA"/>
    <w:rsid w:val="008F1CB5"/>
    <w:rsid w:val="008F1DDF"/>
    <w:rsid w:val="008F223F"/>
    <w:rsid w:val="008F276C"/>
    <w:rsid w:val="008F2850"/>
    <w:rsid w:val="008F297B"/>
    <w:rsid w:val="008F29E8"/>
    <w:rsid w:val="008F338F"/>
    <w:rsid w:val="008F3637"/>
    <w:rsid w:val="008F401F"/>
    <w:rsid w:val="008F48A6"/>
    <w:rsid w:val="008F4E18"/>
    <w:rsid w:val="008F4F63"/>
    <w:rsid w:val="008F5276"/>
    <w:rsid w:val="008F57EE"/>
    <w:rsid w:val="008F6B5F"/>
    <w:rsid w:val="008F6C42"/>
    <w:rsid w:val="008F703E"/>
    <w:rsid w:val="008F772F"/>
    <w:rsid w:val="008F7760"/>
    <w:rsid w:val="008F7BC4"/>
    <w:rsid w:val="008F7C00"/>
    <w:rsid w:val="0090006B"/>
    <w:rsid w:val="00900E18"/>
    <w:rsid w:val="0090117E"/>
    <w:rsid w:val="00901D51"/>
    <w:rsid w:val="0090215A"/>
    <w:rsid w:val="009034C6"/>
    <w:rsid w:val="00903A28"/>
    <w:rsid w:val="00903AA8"/>
    <w:rsid w:val="00903C9C"/>
    <w:rsid w:val="00903D92"/>
    <w:rsid w:val="00903FB5"/>
    <w:rsid w:val="00904429"/>
    <w:rsid w:val="00904E82"/>
    <w:rsid w:val="00905092"/>
    <w:rsid w:val="00905B6B"/>
    <w:rsid w:val="009062BE"/>
    <w:rsid w:val="009063C3"/>
    <w:rsid w:val="00906944"/>
    <w:rsid w:val="0090694A"/>
    <w:rsid w:val="009076C6"/>
    <w:rsid w:val="009078FC"/>
    <w:rsid w:val="00910869"/>
    <w:rsid w:val="00910B20"/>
    <w:rsid w:val="00910B2B"/>
    <w:rsid w:val="00910C9F"/>
    <w:rsid w:val="009111EB"/>
    <w:rsid w:val="009117B2"/>
    <w:rsid w:val="00911A47"/>
    <w:rsid w:val="0091250A"/>
    <w:rsid w:val="00912B3F"/>
    <w:rsid w:val="00912D32"/>
    <w:rsid w:val="00912E91"/>
    <w:rsid w:val="009133EA"/>
    <w:rsid w:val="00913431"/>
    <w:rsid w:val="00913559"/>
    <w:rsid w:val="009135D6"/>
    <w:rsid w:val="00913AAD"/>
    <w:rsid w:val="00913B7E"/>
    <w:rsid w:val="009149DF"/>
    <w:rsid w:val="00914BC5"/>
    <w:rsid w:val="0091500A"/>
    <w:rsid w:val="0091501F"/>
    <w:rsid w:val="0091511B"/>
    <w:rsid w:val="0091553A"/>
    <w:rsid w:val="00916561"/>
    <w:rsid w:val="00916D28"/>
    <w:rsid w:val="00916E54"/>
    <w:rsid w:val="00917027"/>
    <w:rsid w:val="00917070"/>
    <w:rsid w:val="0091736E"/>
    <w:rsid w:val="009175A3"/>
    <w:rsid w:val="00917901"/>
    <w:rsid w:val="00917B02"/>
    <w:rsid w:val="00917C5C"/>
    <w:rsid w:val="00917D51"/>
    <w:rsid w:val="009202CF"/>
    <w:rsid w:val="0092033A"/>
    <w:rsid w:val="00920C04"/>
    <w:rsid w:val="00920CE7"/>
    <w:rsid w:val="009219CB"/>
    <w:rsid w:val="00921FB7"/>
    <w:rsid w:val="0092228F"/>
    <w:rsid w:val="00922816"/>
    <w:rsid w:val="0092293D"/>
    <w:rsid w:val="00922D14"/>
    <w:rsid w:val="00923488"/>
    <w:rsid w:val="00923B51"/>
    <w:rsid w:val="00923D5A"/>
    <w:rsid w:val="00923DA7"/>
    <w:rsid w:val="00923E0C"/>
    <w:rsid w:val="0092407F"/>
    <w:rsid w:val="00924290"/>
    <w:rsid w:val="0092491F"/>
    <w:rsid w:val="00924C57"/>
    <w:rsid w:val="00925023"/>
    <w:rsid w:val="0092515F"/>
    <w:rsid w:val="009252D3"/>
    <w:rsid w:val="0092571D"/>
    <w:rsid w:val="009259BA"/>
    <w:rsid w:val="00925C3E"/>
    <w:rsid w:val="00925E7F"/>
    <w:rsid w:val="00927449"/>
    <w:rsid w:val="009275DC"/>
    <w:rsid w:val="0092793E"/>
    <w:rsid w:val="00927EC3"/>
    <w:rsid w:val="00930034"/>
    <w:rsid w:val="00930332"/>
    <w:rsid w:val="009303B4"/>
    <w:rsid w:val="00930881"/>
    <w:rsid w:val="00930B3D"/>
    <w:rsid w:val="0093122F"/>
    <w:rsid w:val="009312F8"/>
    <w:rsid w:val="009314F1"/>
    <w:rsid w:val="00931D04"/>
    <w:rsid w:val="00931D3E"/>
    <w:rsid w:val="00931ECB"/>
    <w:rsid w:val="00931F7D"/>
    <w:rsid w:val="00932352"/>
    <w:rsid w:val="00932460"/>
    <w:rsid w:val="0093279B"/>
    <w:rsid w:val="00932901"/>
    <w:rsid w:val="00932DAC"/>
    <w:rsid w:val="009336AB"/>
    <w:rsid w:val="00933716"/>
    <w:rsid w:val="00933B20"/>
    <w:rsid w:val="009340E3"/>
    <w:rsid w:val="0093442A"/>
    <w:rsid w:val="009347C4"/>
    <w:rsid w:val="00935BDA"/>
    <w:rsid w:val="00936D12"/>
    <w:rsid w:val="00937E88"/>
    <w:rsid w:val="00937F7E"/>
    <w:rsid w:val="00941567"/>
    <w:rsid w:val="00941A96"/>
    <w:rsid w:val="00941ED0"/>
    <w:rsid w:val="00942149"/>
    <w:rsid w:val="009421C4"/>
    <w:rsid w:val="009421FB"/>
    <w:rsid w:val="00942B44"/>
    <w:rsid w:val="0094317E"/>
    <w:rsid w:val="0094372F"/>
    <w:rsid w:val="00943DE6"/>
    <w:rsid w:val="00943FC2"/>
    <w:rsid w:val="00944641"/>
    <w:rsid w:val="00944AB5"/>
    <w:rsid w:val="0094568C"/>
    <w:rsid w:val="009458D3"/>
    <w:rsid w:val="00945B41"/>
    <w:rsid w:val="00946ADF"/>
    <w:rsid w:val="00947ED5"/>
    <w:rsid w:val="0095006D"/>
    <w:rsid w:val="00950312"/>
    <w:rsid w:val="00950626"/>
    <w:rsid w:val="009509E5"/>
    <w:rsid w:val="00950BA5"/>
    <w:rsid w:val="00950FA1"/>
    <w:rsid w:val="00951453"/>
    <w:rsid w:val="00951B50"/>
    <w:rsid w:val="00952134"/>
    <w:rsid w:val="0095237B"/>
    <w:rsid w:val="00952968"/>
    <w:rsid w:val="00952DC6"/>
    <w:rsid w:val="00953B52"/>
    <w:rsid w:val="00953F52"/>
    <w:rsid w:val="00954035"/>
    <w:rsid w:val="0095416F"/>
    <w:rsid w:val="0095449F"/>
    <w:rsid w:val="00954607"/>
    <w:rsid w:val="00954870"/>
    <w:rsid w:val="009551BD"/>
    <w:rsid w:val="0095538F"/>
    <w:rsid w:val="00955659"/>
    <w:rsid w:val="00955AF6"/>
    <w:rsid w:val="00955BFF"/>
    <w:rsid w:val="00955F22"/>
    <w:rsid w:val="009564A7"/>
    <w:rsid w:val="009568F0"/>
    <w:rsid w:val="00956A60"/>
    <w:rsid w:val="00956C79"/>
    <w:rsid w:val="00956C9C"/>
    <w:rsid w:val="009570DC"/>
    <w:rsid w:val="00957397"/>
    <w:rsid w:val="00957A0B"/>
    <w:rsid w:val="00957B19"/>
    <w:rsid w:val="00957B4D"/>
    <w:rsid w:val="00957EC3"/>
    <w:rsid w:val="00960175"/>
    <w:rsid w:val="00960545"/>
    <w:rsid w:val="0096070E"/>
    <w:rsid w:val="00960F3C"/>
    <w:rsid w:val="00961634"/>
    <w:rsid w:val="00961850"/>
    <w:rsid w:val="00961953"/>
    <w:rsid w:val="009619B1"/>
    <w:rsid w:val="00961C06"/>
    <w:rsid w:val="009621D7"/>
    <w:rsid w:val="00962437"/>
    <w:rsid w:val="0096265D"/>
    <w:rsid w:val="009626E3"/>
    <w:rsid w:val="009627BC"/>
    <w:rsid w:val="00962A25"/>
    <w:rsid w:val="00962B0A"/>
    <w:rsid w:val="0096300E"/>
    <w:rsid w:val="0096354A"/>
    <w:rsid w:val="0096375F"/>
    <w:rsid w:val="00963A8B"/>
    <w:rsid w:val="00963C87"/>
    <w:rsid w:val="00963EB5"/>
    <w:rsid w:val="009653D6"/>
    <w:rsid w:val="009654D5"/>
    <w:rsid w:val="0096575E"/>
    <w:rsid w:val="00966104"/>
    <w:rsid w:val="009661B5"/>
    <w:rsid w:val="009663E7"/>
    <w:rsid w:val="009663FB"/>
    <w:rsid w:val="009666A7"/>
    <w:rsid w:val="00966F22"/>
    <w:rsid w:val="009673A4"/>
    <w:rsid w:val="009673C7"/>
    <w:rsid w:val="0097048D"/>
    <w:rsid w:val="009705DC"/>
    <w:rsid w:val="00971D2B"/>
    <w:rsid w:val="00971EBE"/>
    <w:rsid w:val="009720BA"/>
    <w:rsid w:val="00972247"/>
    <w:rsid w:val="009722AD"/>
    <w:rsid w:val="00972718"/>
    <w:rsid w:val="0097292C"/>
    <w:rsid w:val="00972ACD"/>
    <w:rsid w:val="00973029"/>
    <w:rsid w:val="009735A4"/>
    <w:rsid w:val="009735AF"/>
    <w:rsid w:val="00973A2F"/>
    <w:rsid w:val="00973C43"/>
    <w:rsid w:val="00973E7F"/>
    <w:rsid w:val="00974626"/>
    <w:rsid w:val="00974A21"/>
    <w:rsid w:val="00974B8B"/>
    <w:rsid w:val="00974D15"/>
    <w:rsid w:val="009752DD"/>
    <w:rsid w:val="00976100"/>
    <w:rsid w:val="009765E6"/>
    <w:rsid w:val="009767D1"/>
    <w:rsid w:val="00976DCC"/>
    <w:rsid w:val="0097701A"/>
    <w:rsid w:val="00977319"/>
    <w:rsid w:val="0097753A"/>
    <w:rsid w:val="0097758E"/>
    <w:rsid w:val="00977987"/>
    <w:rsid w:val="00977BE7"/>
    <w:rsid w:val="00977E3C"/>
    <w:rsid w:val="0098068B"/>
    <w:rsid w:val="009807E9"/>
    <w:rsid w:val="00981A5A"/>
    <w:rsid w:val="00981ABE"/>
    <w:rsid w:val="00981FCE"/>
    <w:rsid w:val="009821C9"/>
    <w:rsid w:val="00982217"/>
    <w:rsid w:val="009825A8"/>
    <w:rsid w:val="00982625"/>
    <w:rsid w:val="0098264C"/>
    <w:rsid w:val="00982755"/>
    <w:rsid w:val="00983241"/>
    <w:rsid w:val="009833BD"/>
    <w:rsid w:val="009833D8"/>
    <w:rsid w:val="0098360C"/>
    <w:rsid w:val="009837B2"/>
    <w:rsid w:val="00984757"/>
    <w:rsid w:val="0098483B"/>
    <w:rsid w:val="009849C2"/>
    <w:rsid w:val="00984A5F"/>
    <w:rsid w:val="00984ECC"/>
    <w:rsid w:val="00984ED7"/>
    <w:rsid w:val="00984FB1"/>
    <w:rsid w:val="00985327"/>
    <w:rsid w:val="009853DD"/>
    <w:rsid w:val="00985412"/>
    <w:rsid w:val="00985750"/>
    <w:rsid w:val="00985B25"/>
    <w:rsid w:val="00985BA1"/>
    <w:rsid w:val="00985D4E"/>
    <w:rsid w:val="00985D7C"/>
    <w:rsid w:val="0098606D"/>
    <w:rsid w:val="00987336"/>
    <w:rsid w:val="0099099C"/>
    <w:rsid w:val="00990D47"/>
    <w:rsid w:val="00991064"/>
    <w:rsid w:val="0099162B"/>
    <w:rsid w:val="00991698"/>
    <w:rsid w:val="00991919"/>
    <w:rsid w:val="00991A4B"/>
    <w:rsid w:val="00991E2D"/>
    <w:rsid w:val="00992333"/>
    <w:rsid w:val="009928A8"/>
    <w:rsid w:val="00993EB5"/>
    <w:rsid w:val="00994B49"/>
    <w:rsid w:val="00994D5B"/>
    <w:rsid w:val="00994DA0"/>
    <w:rsid w:val="00994EE7"/>
    <w:rsid w:val="0099583D"/>
    <w:rsid w:val="00996091"/>
    <w:rsid w:val="009964BB"/>
    <w:rsid w:val="00996772"/>
    <w:rsid w:val="00996796"/>
    <w:rsid w:val="00996BD9"/>
    <w:rsid w:val="0099702B"/>
    <w:rsid w:val="00997543"/>
    <w:rsid w:val="009975B6"/>
    <w:rsid w:val="0099770C"/>
    <w:rsid w:val="009A0106"/>
    <w:rsid w:val="009A0230"/>
    <w:rsid w:val="009A049F"/>
    <w:rsid w:val="009A0875"/>
    <w:rsid w:val="009A12C3"/>
    <w:rsid w:val="009A135F"/>
    <w:rsid w:val="009A1471"/>
    <w:rsid w:val="009A16D2"/>
    <w:rsid w:val="009A1C51"/>
    <w:rsid w:val="009A1C94"/>
    <w:rsid w:val="009A2AA7"/>
    <w:rsid w:val="009A2F32"/>
    <w:rsid w:val="009A3432"/>
    <w:rsid w:val="009A3A58"/>
    <w:rsid w:val="009A43F3"/>
    <w:rsid w:val="009A44F4"/>
    <w:rsid w:val="009A46BF"/>
    <w:rsid w:val="009A485C"/>
    <w:rsid w:val="009A4FAE"/>
    <w:rsid w:val="009A56EF"/>
    <w:rsid w:val="009A5E72"/>
    <w:rsid w:val="009A64A5"/>
    <w:rsid w:val="009A707D"/>
    <w:rsid w:val="009A7505"/>
    <w:rsid w:val="009A7982"/>
    <w:rsid w:val="009A798A"/>
    <w:rsid w:val="009B072A"/>
    <w:rsid w:val="009B09C5"/>
    <w:rsid w:val="009B0A7F"/>
    <w:rsid w:val="009B0FEE"/>
    <w:rsid w:val="009B1989"/>
    <w:rsid w:val="009B1A66"/>
    <w:rsid w:val="009B1ABE"/>
    <w:rsid w:val="009B1F7A"/>
    <w:rsid w:val="009B207F"/>
    <w:rsid w:val="009B2C54"/>
    <w:rsid w:val="009B3C16"/>
    <w:rsid w:val="009B3C6E"/>
    <w:rsid w:val="009B4266"/>
    <w:rsid w:val="009B448E"/>
    <w:rsid w:val="009B479E"/>
    <w:rsid w:val="009B4CA5"/>
    <w:rsid w:val="009B4D61"/>
    <w:rsid w:val="009B4E42"/>
    <w:rsid w:val="009B5789"/>
    <w:rsid w:val="009B61AF"/>
    <w:rsid w:val="009B6849"/>
    <w:rsid w:val="009B6B51"/>
    <w:rsid w:val="009B770F"/>
    <w:rsid w:val="009B7E27"/>
    <w:rsid w:val="009B7E4A"/>
    <w:rsid w:val="009C02E6"/>
    <w:rsid w:val="009C03E8"/>
    <w:rsid w:val="009C0BBC"/>
    <w:rsid w:val="009C0D7C"/>
    <w:rsid w:val="009C15AC"/>
    <w:rsid w:val="009C1F54"/>
    <w:rsid w:val="009C21BA"/>
    <w:rsid w:val="009C21BF"/>
    <w:rsid w:val="009C234A"/>
    <w:rsid w:val="009C2436"/>
    <w:rsid w:val="009C2556"/>
    <w:rsid w:val="009C2911"/>
    <w:rsid w:val="009C2B41"/>
    <w:rsid w:val="009C2E5D"/>
    <w:rsid w:val="009C334A"/>
    <w:rsid w:val="009C34AF"/>
    <w:rsid w:val="009C36EC"/>
    <w:rsid w:val="009C39CA"/>
    <w:rsid w:val="009C39D7"/>
    <w:rsid w:val="009C3CE0"/>
    <w:rsid w:val="009C4D21"/>
    <w:rsid w:val="009C51A4"/>
    <w:rsid w:val="009C551F"/>
    <w:rsid w:val="009C5800"/>
    <w:rsid w:val="009C5C71"/>
    <w:rsid w:val="009C602B"/>
    <w:rsid w:val="009C62CC"/>
    <w:rsid w:val="009C64F6"/>
    <w:rsid w:val="009C66EC"/>
    <w:rsid w:val="009C6E5F"/>
    <w:rsid w:val="009C745B"/>
    <w:rsid w:val="009C793F"/>
    <w:rsid w:val="009C7A7F"/>
    <w:rsid w:val="009C7BF0"/>
    <w:rsid w:val="009C7D1A"/>
    <w:rsid w:val="009D034E"/>
    <w:rsid w:val="009D0485"/>
    <w:rsid w:val="009D0C34"/>
    <w:rsid w:val="009D139A"/>
    <w:rsid w:val="009D164B"/>
    <w:rsid w:val="009D16ED"/>
    <w:rsid w:val="009D171F"/>
    <w:rsid w:val="009D176B"/>
    <w:rsid w:val="009D1B23"/>
    <w:rsid w:val="009D2CD7"/>
    <w:rsid w:val="009D3B03"/>
    <w:rsid w:val="009D416D"/>
    <w:rsid w:val="009D4ABE"/>
    <w:rsid w:val="009D5495"/>
    <w:rsid w:val="009D570D"/>
    <w:rsid w:val="009D58C3"/>
    <w:rsid w:val="009D599A"/>
    <w:rsid w:val="009D5B5C"/>
    <w:rsid w:val="009D5D70"/>
    <w:rsid w:val="009D5E49"/>
    <w:rsid w:val="009D5F33"/>
    <w:rsid w:val="009D67BA"/>
    <w:rsid w:val="009D6E49"/>
    <w:rsid w:val="009D718D"/>
    <w:rsid w:val="009D7455"/>
    <w:rsid w:val="009D769A"/>
    <w:rsid w:val="009D7C2E"/>
    <w:rsid w:val="009D7F16"/>
    <w:rsid w:val="009E02F5"/>
    <w:rsid w:val="009E062B"/>
    <w:rsid w:val="009E064C"/>
    <w:rsid w:val="009E0A95"/>
    <w:rsid w:val="009E0C27"/>
    <w:rsid w:val="009E0D8B"/>
    <w:rsid w:val="009E11E8"/>
    <w:rsid w:val="009E13AC"/>
    <w:rsid w:val="009E13FE"/>
    <w:rsid w:val="009E2304"/>
    <w:rsid w:val="009E276E"/>
    <w:rsid w:val="009E2F8A"/>
    <w:rsid w:val="009E33F3"/>
    <w:rsid w:val="009E3BE9"/>
    <w:rsid w:val="009E3D4E"/>
    <w:rsid w:val="009E40AF"/>
    <w:rsid w:val="009E4292"/>
    <w:rsid w:val="009E44D8"/>
    <w:rsid w:val="009E4C9A"/>
    <w:rsid w:val="009E5177"/>
    <w:rsid w:val="009E5719"/>
    <w:rsid w:val="009E578C"/>
    <w:rsid w:val="009E6E5F"/>
    <w:rsid w:val="009E70E3"/>
    <w:rsid w:val="009E74F4"/>
    <w:rsid w:val="009E76CE"/>
    <w:rsid w:val="009E79C9"/>
    <w:rsid w:val="009E7BA0"/>
    <w:rsid w:val="009F000B"/>
    <w:rsid w:val="009F0A13"/>
    <w:rsid w:val="009F1806"/>
    <w:rsid w:val="009F21FF"/>
    <w:rsid w:val="009F28C3"/>
    <w:rsid w:val="009F28DC"/>
    <w:rsid w:val="009F3185"/>
    <w:rsid w:val="009F37E1"/>
    <w:rsid w:val="009F3914"/>
    <w:rsid w:val="009F3A26"/>
    <w:rsid w:val="009F3BDF"/>
    <w:rsid w:val="009F42CC"/>
    <w:rsid w:val="009F4435"/>
    <w:rsid w:val="009F443F"/>
    <w:rsid w:val="009F4812"/>
    <w:rsid w:val="009F4863"/>
    <w:rsid w:val="009F490D"/>
    <w:rsid w:val="009F4B9F"/>
    <w:rsid w:val="009F516C"/>
    <w:rsid w:val="009F544F"/>
    <w:rsid w:val="009F55B9"/>
    <w:rsid w:val="009F58CC"/>
    <w:rsid w:val="009F58CE"/>
    <w:rsid w:val="009F5B80"/>
    <w:rsid w:val="009F65E2"/>
    <w:rsid w:val="009F6677"/>
    <w:rsid w:val="009F6CEB"/>
    <w:rsid w:val="009F7009"/>
    <w:rsid w:val="009F70A9"/>
    <w:rsid w:val="009F7B59"/>
    <w:rsid w:val="00A0009F"/>
    <w:rsid w:val="00A009DA"/>
    <w:rsid w:val="00A00DC9"/>
    <w:rsid w:val="00A00E9C"/>
    <w:rsid w:val="00A01053"/>
    <w:rsid w:val="00A015DC"/>
    <w:rsid w:val="00A020E2"/>
    <w:rsid w:val="00A024BE"/>
    <w:rsid w:val="00A0380C"/>
    <w:rsid w:val="00A03A87"/>
    <w:rsid w:val="00A044F3"/>
    <w:rsid w:val="00A04C02"/>
    <w:rsid w:val="00A05227"/>
    <w:rsid w:val="00A058E2"/>
    <w:rsid w:val="00A05973"/>
    <w:rsid w:val="00A05A0B"/>
    <w:rsid w:val="00A05AC4"/>
    <w:rsid w:val="00A062CA"/>
    <w:rsid w:val="00A06980"/>
    <w:rsid w:val="00A077FA"/>
    <w:rsid w:val="00A07E26"/>
    <w:rsid w:val="00A10933"/>
    <w:rsid w:val="00A10A68"/>
    <w:rsid w:val="00A1137A"/>
    <w:rsid w:val="00A11782"/>
    <w:rsid w:val="00A11B16"/>
    <w:rsid w:val="00A11EA0"/>
    <w:rsid w:val="00A12F39"/>
    <w:rsid w:val="00A12F52"/>
    <w:rsid w:val="00A1338E"/>
    <w:rsid w:val="00A13664"/>
    <w:rsid w:val="00A143C7"/>
    <w:rsid w:val="00A146F8"/>
    <w:rsid w:val="00A14CA7"/>
    <w:rsid w:val="00A14FF8"/>
    <w:rsid w:val="00A154AE"/>
    <w:rsid w:val="00A155EF"/>
    <w:rsid w:val="00A158EA"/>
    <w:rsid w:val="00A15AEB"/>
    <w:rsid w:val="00A15D9F"/>
    <w:rsid w:val="00A16020"/>
    <w:rsid w:val="00A160F2"/>
    <w:rsid w:val="00A16164"/>
    <w:rsid w:val="00A162E9"/>
    <w:rsid w:val="00A16743"/>
    <w:rsid w:val="00A16C16"/>
    <w:rsid w:val="00A1710C"/>
    <w:rsid w:val="00A173A5"/>
    <w:rsid w:val="00A17A67"/>
    <w:rsid w:val="00A20023"/>
    <w:rsid w:val="00A20124"/>
    <w:rsid w:val="00A20578"/>
    <w:rsid w:val="00A21526"/>
    <w:rsid w:val="00A217D7"/>
    <w:rsid w:val="00A21A03"/>
    <w:rsid w:val="00A21A89"/>
    <w:rsid w:val="00A21CA6"/>
    <w:rsid w:val="00A22443"/>
    <w:rsid w:val="00A22755"/>
    <w:rsid w:val="00A228B1"/>
    <w:rsid w:val="00A22C8F"/>
    <w:rsid w:val="00A23748"/>
    <w:rsid w:val="00A23D88"/>
    <w:rsid w:val="00A23EE2"/>
    <w:rsid w:val="00A24023"/>
    <w:rsid w:val="00A2423A"/>
    <w:rsid w:val="00A246C5"/>
    <w:rsid w:val="00A24D25"/>
    <w:rsid w:val="00A24EC4"/>
    <w:rsid w:val="00A24F2D"/>
    <w:rsid w:val="00A24F40"/>
    <w:rsid w:val="00A25186"/>
    <w:rsid w:val="00A25296"/>
    <w:rsid w:val="00A256C8"/>
    <w:rsid w:val="00A258F4"/>
    <w:rsid w:val="00A25B96"/>
    <w:rsid w:val="00A26212"/>
    <w:rsid w:val="00A26661"/>
    <w:rsid w:val="00A266F7"/>
    <w:rsid w:val="00A26982"/>
    <w:rsid w:val="00A26EF6"/>
    <w:rsid w:val="00A27335"/>
    <w:rsid w:val="00A27AE9"/>
    <w:rsid w:val="00A27F00"/>
    <w:rsid w:val="00A30009"/>
    <w:rsid w:val="00A30013"/>
    <w:rsid w:val="00A31919"/>
    <w:rsid w:val="00A32B7B"/>
    <w:rsid w:val="00A32D99"/>
    <w:rsid w:val="00A32F6B"/>
    <w:rsid w:val="00A33833"/>
    <w:rsid w:val="00A33D92"/>
    <w:rsid w:val="00A346C2"/>
    <w:rsid w:val="00A34F85"/>
    <w:rsid w:val="00A3563A"/>
    <w:rsid w:val="00A366A0"/>
    <w:rsid w:val="00A36745"/>
    <w:rsid w:val="00A3697B"/>
    <w:rsid w:val="00A36BCE"/>
    <w:rsid w:val="00A36C30"/>
    <w:rsid w:val="00A36E47"/>
    <w:rsid w:val="00A37419"/>
    <w:rsid w:val="00A37985"/>
    <w:rsid w:val="00A37DC2"/>
    <w:rsid w:val="00A401FB"/>
    <w:rsid w:val="00A40405"/>
    <w:rsid w:val="00A40833"/>
    <w:rsid w:val="00A40DB2"/>
    <w:rsid w:val="00A41014"/>
    <w:rsid w:val="00A41071"/>
    <w:rsid w:val="00A42490"/>
    <w:rsid w:val="00A42F0A"/>
    <w:rsid w:val="00A42FD2"/>
    <w:rsid w:val="00A43CC4"/>
    <w:rsid w:val="00A43D44"/>
    <w:rsid w:val="00A4406D"/>
    <w:rsid w:val="00A4424E"/>
    <w:rsid w:val="00A447E1"/>
    <w:rsid w:val="00A44908"/>
    <w:rsid w:val="00A44C9C"/>
    <w:rsid w:val="00A44F6E"/>
    <w:rsid w:val="00A45DB5"/>
    <w:rsid w:val="00A468C0"/>
    <w:rsid w:val="00A46F0B"/>
    <w:rsid w:val="00A46FAA"/>
    <w:rsid w:val="00A477E7"/>
    <w:rsid w:val="00A479DB"/>
    <w:rsid w:val="00A50731"/>
    <w:rsid w:val="00A50B80"/>
    <w:rsid w:val="00A50BF6"/>
    <w:rsid w:val="00A50E61"/>
    <w:rsid w:val="00A5125C"/>
    <w:rsid w:val="00A51947"/>
    <w:rsid w:val="00A519FB"/>
    <w:rsid w:val="00A52540"/>
    <w:rsid w:val="00A525B6"/>
    <w:rsid w:val="00A52F77"/>
    <w:rsid w:val="00A533AF"/>
    <w:rsid w:val="00A53418"/>
    <w:rsid w:val="00A53988"/>
    <w:rsid w:val="00A54245"/>
    <w:rsid w:val="00A54494"/>
    <w:rsid w:val="00A54701"/>
    <w:rsid w:val="00A5481C"/>
    <w:rsid w:val="00A54E1F"/>
    <w:rsid w:val="00A551CB"/>
    <w:rsid w:val="00A552FE"/>
    <w:rsid w:val="00A5604A"/>
    <w:rsid w:val="00A56114"/>
    <w:rsid w:val="00A57650"/>
    <w:rsid w:val="00A607B9"/>
    <w:rsid w:val="00A60806"/>
    <w:rsid w:val="00A6081A"/>
    <w:rsid w:val="00A61360"/>
    <w:rsid w:val="00A617A1"/>
    <w:rsid w:val="00A61FE2"/>
    <w:rsid w:val="00A6370E"/>
    <w:rsid w:val="00A63933"/>
    <w:rsid w:val="00A6401D"/>
    <w:rsid w:val="00A6402B"/>
    <w:rsid w:val="00A6412B"/>
    <w:rsid w:val="00A64A36"/>
    <w:rsid w:val="00A65009"/>
    <w:rsid w:val="00A6565E"/>
    <w:rsid w:val="00A663C5"/>
    <w:rsid w:val="00A66D54"/>
    <w:rsid w:val="00A67385"/>
    <w:rsid w:val="00A67B63"/>
    <w:rsid w:val="00A67D41"/>
    <w:rsid w:val="00A67E6E"/>
    <w:rsid w:val="00A67FB5"/>
    <w:rsid w:val="00A707D0"/>
    <w:rsid w:val="00A711BC"/>
    <w:rsid w:val="00A718B4"/>
    <w:rsid w:val="00A71BF6"/>
    <w:rsid w:val="00A72519"/>
    <w:rsid w:val="00A72706"/>
    <w:rsid w:val="00A728E4"/>
    <w:rsid w:val="00A72A6A"/>
    <w:rsid w:val="00A72A8F"/>
    <w:rsid w:val="00A72C92"/>
    <w:rsid w:val="00A73281"/>
    <w:rsid w:val="00A733F0"/>
    <w:rsid w:val="00A73671"/>
    <w:rsid w:val="00A73B21"/>
    <w:rsid w:val="00A74063"/>
    <w:rsid w:val="00A74565"/>
    <w:rsid w:val="00A74DA4"/>
    <w:rsid w:val="00A75602"/>
    <w:rsid w:val="00A759F1"/>
    <w:rsid w:val="00A75A8C"/>
    <w:rsid w:val="00A75DE3"/>
    <w:rsid w:val="00A75EEE"/>
    <w:rsid w:val="00A76726"/>
    <w:rsid w:val="00A770AF"/>
    <w:rsid w:val="00A775F0"/>
    <w:rsid w:val="00A80087"/>
    <w:rsid w:val="00A8044E"/>
    <w:rsid w:val="00A80914"/>
    <w:rsid w:val="00A80CA8"/>
    <w:rsid w:val="00A81674"/>
    <w:rsid w:val="00A81A50"/>
    <w:rsid w:val="00A81B28"/>
    <w:rsid w:val="00A81E8E"/>
    <w:rsid w:val="00A820CA"/>
    <w:rsid w:val="00A82491"/>
    <w:rsid w:val="00A8254E"/>
    <w:rsid w:val="00A82646"/>
    <w:rsid w:val="00A82B9E"/>
    <w:rsid w:val="00A8309B"/>
    <w:rsid w:val="00A831CB"/>
    <w:rsid w:val="00A840F7"/>
    <w:rsid w:val="00A842DF"/>
    <w:rsid w:val="00A84E2D"/>
    <w:rsid w:val="00A84F34"/>
    <w:rsid w:val="00A852CE"/>
    <w:rsid w:val="00A85340"/>
    <w:rsid w:val="00A8599D"/>
    <w:rsid w:val="00A85A51"/>
    <w:rsid w:val="00A86244"/>
    <w:rsid w:val="00A86397"/>
    <w:rsid w:val="00A86458"/>
    <w:rsid w:val="00A8686F"/>
    <w:rsid w:val="00A86A9D"/>
    <w:rsid w:val="00A86B20"/>
    <w:rsid w:val="00A86C5B"/>
    <w:rsid w:val="00A870D0"/>
    <w:rsid w:val="00A874D9"/>
    <w:rsid w:val="00A879A6"/>
    <w:rsid w:val="00A87D57"/>
    <w:rsid w:val="00A87FAA"/>
    <w:rsid w:val="00A90422"/>
    <w:rsid w:val="00A9065D"/>
    <w:rsid w:val="00A90E47"/>
    <w:rsid w:val="00A90E58"/>
    <w:rsid w:val="00A90EB0"/>
    <w:rsid w:val="00A90ED3"/>
    <w:rsid w:val="00A91320"/>
    <w:rsid w:val="00A91631"/>
    <w:rsid w:val="00A921BB"/>
    <w:rsid w:val="00A92211"/>
    <w:rsid w:val="00A93B68"/>
    <w:rsid w:val="00A93CCA"/>
    <w:rsid w:val="00A9440E"/>
    <w:rsid w:val="00A945E5"/>
    <w:rsid w:val="00A959D5"/>
    <w:rsid w:val="00A96689"/>
    <w:rsid w:val="00A9673E"/>
    <w:rsid w:val="00A96E39"/>
    <w:rsid w:val="00A96E6A"/>
    <w:rsid w:val="00A97A0B"/>
    <w:rsid w:val="00AA0157"/>
    <w:rsid w:val="00AA0229"/>
    <w:rsid w:val="00AA03C7"/>
    <w:rsid w:val="00AA086B"/>
    <w:rsid w:val="00AA0C2E"/>
    <w:rsid w:val="00AA0E49"/>
    <w:rsid w:val="00AA0F5C"/>
    <w:rsid w:val="00AA100E"/>
    <w:rsid w:val="00AA11CC"/>
    <w:rsid w:val="00AA1560"/>
    <w:rsid w:val="00AA188A"/>
    <w:rsid w:val="00AA1C1F"/>
    <w:rsid w:val="00AA1E8D"/>
    <w:rsid w:val="00AA1FB8"/>
    <w:rsid w:val="00AA202D"/>
    <w:rsid w:val="00AA32B8"/>
    <w:rsid w:val="00AA37B7"/>
    <w:rsid w:val="00AA3B45"/>
    <w:rsid w:val="00AA3C6F"/>
    <w:rsid w:val="00AA3D14"/>
    <w:rsid w:val="00AA451C"/>
    <w:rsid w:val="00AA4903"/>
    <w:rsid w:val="00AA50E7"/>
    <w:rsid w:val="00AA56EE"/>
    <w:rsid w:val="00AA5C09"/>
    <w:rsid w:val="00AA60CE"/>
    <w:rsid w:val="00AA7012"/>
    <w:rsid w:val="00AA7320"/>
    <w:rsid w:val="00AA7798"/>
    <w:rsid w:val="00AB01D3"/>
    <w:rsid w:val="00AB0764"/>
    <w:rsid w:val="00AB1204"/>
    <w:rsid w:val="00AB13A0"/>
    <w:rsid w:val="00AB1865"/>
    <w:rsid w:val="00AB1EBE"/>
    <w:rsid w:val="00AB1ED5"/>
    <w:rsid w:val="00AB1FEF"/>
    <w:rsid w:val="00AB20DE"/>
    <w:rsid w:val="00AB2461"/>
    <w:rsid w:val="00AB2C74"/>
    <w:rsid w:val="00AB346D"/>
    <w:rsid w:val="00AB3D2E"/>
    <w:rsid w:val="00AB44BD"/>
    <w:rsid w:val="00AB4B81"/>
    <w:rsid w:val="00AB507B"/>
    <w:rsid w:val="00AB52B2"/>
    <w:rsid w:val="00AB592F"/>
    <w:rsid w:val="00AB5B58"/>
    <w:rsid w:val="00AB5BA7"/>
    <w:rsid w:val="00AB5E67"/>
    <w:rsid w:val="00AB5FE9"/>
    <w:rsid w:val="00AB5FF6"/>
    <w:rsid w:val="00AB615F"/>
    <w:rsid w:val="00AB633D"/>
    <w:rsid w:val="00AB6409"/>
    <w:rsid w:val="00AB643E"/>
    <w:rsid w:val="00AB666C"/>
    <w:rsid w:val="00AB69AA"/>
    <w:rsid w:val="00AB738D"/>
    <w:rsid w:val="00AB7BA2"/>
    <w:rsid w:val="00AB7BC7"/>
    <w:rsid w:val="00AB7E78"/>
    <w:rsid w:val="00AC0121"/>
    <w:rsid w:val="00AC01BC"/>
    <w:rsid w:val="00AC1506"/>
    <w:rsid w:val="00AC1600"/>
    <w:rsid w:val="00AC21E4"/>
    <w:rsid w:val="00AC251C"/>
    <w:rsid w:val="00AC2639"/>
    <w:rsid w:val="00AC264F"/>
    <w:rsid w:val="00AC2EA5"/>
    <w:rsid w:val="00AC36D8"/>
    <w:rsid w:val="00AC3849"/>
    <w:rsid w:val="00AC39A5"/>
    <w:rsid w:val="00AC3C92"/>
    <w:rsid w:val="00AC3D3F"/>
    <w:rsid w:val="00AC45C7"/>
    <w:rsid w:val="00AC4841"/>
    <w:rsid w:val="00AC4AA9"/>
    <w:rsid w:val="00AC4AF5"/>
    <w:rsid w:val="00AC4B9A"/>
    <w:rsid w:val="00AC4BD7"/>
    <w:rsid w:val="00AC4FCD"/>
    <w:rsid w:val="00AC5874"/>
    <w:rsid w:val="00AC644D"/>
    <w:rsid w:val="00AC6899"/>
    <w:rsid w:val="00AC6B37"/>
    <w:rsid w:val="00AC6DE0"/>
    <w:rsid w:val="00AC6E57"/>
    <w:rsid w:val="00AC72E8"/>
    <w:rsid w:val="00AC770F"/>
    <w:rsid w:val="00AC7FAB"/>
    <w:rsid w:val="00AD0082"/>
    <w:rsid w:val="00AD067F"/>
    <w:rsid w:val="00AD0744"/>
    <w:rsid w:val="00AD0810"/>
    <w:rsid w:val="00AD0C8D"/>
    <w:rsid w:val="00AD0F27"/>
    <w:rsid w:val="00AD0F35"/>
    <w:rsid w:val="00AD1201"/>
    <w:rsid w:val="00AD1C48"/>
    <w:rsid w:val="00AD2383"/>
    <w:rsid w:val="00AD2397"/>
    <w:rsid w:val="00AD33D4"/>
    <w:rsid w:val="00AD3654"/>
    <w:rsid w:val="00AD37E5"/>
    <w:rsid w:val="00AD458F"/>
    <w:rsid w:val="00AD4719"/>
    <w:rsid w:val="00AD4A33"/>
    <w:rsid w:val="00AD4CB1"/>
    <w:rsid w:val="00AD4D6D"/>
    <w:rsid w:val="00AD543B"/>
    <w:rsid w:val="00AD56C2"/>
    <w:rsid w:val="00AD5782"/>
    <w:rsid w:val="00AD5A91"/>
    <w:rsid w:val="00AD5BB4"/>
    <w:rsid w:val="00AD5BDA"/>
    <w:rsid w:val="00AD6572"/>
    <w:rsid w:val="00AD695C"/>
    <w:rsid w:val="00AD6E9A"/>
    <w:rsid w:val="00AD6F7E"/>
    <w:rsid w:val="00AD7B47"/>
    <w:rsid w:val="00AE00A2"/>
    <w:rsid w:val="00AE01B4"/>
    <w:rsid w:val="00AE1D1C"/>
    <w:rsid w:val="00AE2F2F"/>
    <w:rsid w:val="00AE315C"/>
    <w:rsid w:val="00AE317C"/>
    <w:rsid w:val="00AE37AD"/>
    <w:rsid w:val="00AE3BB3"/>
    <w:rsid w:val="00AE440E"/>
    <w:rsid w:val="00AE49D5"/>
    <w:rsid w:val="00AE4C2A"/>
    <w:rsid w:val="00AE611B"/>
    <w:rsid w:val="00AE62F4"/>
    <w:rsid w:val="00AE6502"/>
    <w:rsid w:val="00AE6569"/>
    <w:rsid w:val="00AE65C5"/>
    <w:rsid w:val="00AE6F9D"/>
    <w:rsid w:val="00AE6FB2"/>
    <w:rsid w:val="00AF0AF4"/>
    <w:rsid w:val="00AF0F86"/>
    <w:rsid w:val="00AF1052"/>
    <w:rsid w:val="00AF19F3"/>
    <w:rsid w:val="00AF1B1C"/>
    <w:rsid w:val="00AF1F85"/>
    <w:rsid w:val="00AF231A"/>
    <w:rsid w:val="00AF2546"/>
    <w:rsid w:val="00AF2B4E"/>
    <w:rsid w:val="00AF2D6E"/>
    <w:rsid w:val="00AF35F4"/>
    <w:rsid w:val="00AF3DBB"/>
    <w:rsid w:val="00AF4004"/>
    <w:rsid w:val="00AF4618"/>
    <w:rsid w:val="00AF4AE7"/>
    <w:rsid w:val="00AF4F3E"/>
    <w:rsid w:val="00AF52B1"/>
    <w:rsid w:val="00AF54BA"/>
    <w:rsid w:val="00AF6229"/>
    <w:rsid w:val="00AF6318"/>
    <w:rsid w:val="00AF65D0"/>
    <w:rsid w:val="00AF6693"/>
    <w:rsid w:val="00AF685C"/>
    <w:rsid w:val="00AF70E9"/>
    <w:rsid w:val="00AF7173"/>
    <w:rsid w:val="00AF72E5"/>
    <w:rsid w:val="00AF73A2"/>
    <w:rsid w:val="00AF75E5"/>
    <w:rsid w:val="00AF7CC4"/>
    <w:rsid w:val="00AF7F04"/>
    <w:rsid w:val="00B0063E"/>
    <w:rsid w:val="00B007DB"/>
    <w:rsid w:val="00B00DF5"/>
    <w:rsid w:val="00B00F63"/>
    <w:rsid w:val="00B01C6B"/>
    <w:rsid w:val="00B022AF"/>
    <w:rsid w:val="00B02E73"/>
    <w:rsid w:val="00B033D0"/>
    <w:rsid w:val="00B03AE5"/>
    <w:rsid w:val="00B03E0B"/>
    <w:rsid w:val="00B045A9"/>
    <w:rsid w:val="00B045D6"/>
    <w:rsid w:val="00B054C6"/>
    <w:rsid w:val="00B0551C"/>
    <w:rsid w:val="00B05EEE"/>
    <w:rsid w:val="00B05F30"/>
    <w:rsid w:val="00B06394"/>
    <w:rsid w:val="00B06A1B"/>
    <w:rsid w:val="00B06CFB"/>
    <w:rsid w:val="00B0755C"/>
    <w:rsid w:val="00B076C5"/>
    <w:rsid w:val="00B07EAE"/>
    <w:rsid w:val="00B1064F"/>
    <w:rsid w:val="00B1077D"/>
    <w:rsid w:val="00B10811"/>
    <w:rsid w:val="00B10B7E"/>
    <w:rsid w:val="00B10B8F"/>
    <w:rsid w:val="00B11423"/>
    <w:rsid w:val="00B11841"/>
    <w:rsid w:val="00B11BD0"/>
    <w:rsid w:val="00B11EB2"/>
    <w:rsid w:val="00B120F9"/>
    <w:rsid w:val="00B12D75"/>
    <w:rsid w:val="00B13E18"/>
    <w:rsid w:val="00B13E3A"/>
    <w:rsid w:val="00B14537"/>
    <w:rsid w:val="00B1471D"/>
    <w:rsid w:val="00B1487F"/>
    <w:rsid w:val="00B15319"/>
    <w:rsid w:val="00B1620D"/>
    <w:rsid w:val="00B17327"/>
    <w:rsid w:val="00B201D3"/>
    <w:rsid w:val="00B203E6"/>
    <w:rsid w:val="00B2049A"/>
    <w:rsid w:val="00B204A5"/>
    <w:rsid w:val="00B20722"/>
    <w:rsid w:val="00B2083B"/>
    <w:rsid w:val="00B20F9F"/>
    <w:rsid w:val="00B210B8"/>
    <w:rsid w:val="00B21A3A"/>
    <w:rsid w:val="00B21B4C"/>
    <w:rsid w:val="00B21CD4"/>
    <w:rsid w:val="00B21F41"/>
    <w:rsid w:val="00B2217D"/>
    <w:rsid w:val="00B2225A"/>
    <w:rsid w:val="00B23003"/>
    <w:rsid w:val="00B23535"/>
    <w:rsid w:val="00B2381E"/>
    <w:rsid w:val="00B2395D"/>
    <w:rsid w:val="00B23FF2"/>
    <w:rsid w:val="00B24748"/>
    <w:rsid w:val="00B252E6"/>
    <w:rsid w:val="00B25D5E"/>
    <w:rsid w:val="00B26057"/>
    <w:rsid w:val="00B26076"/>
    <w:rsid w:val="00B2616C"/>
    <w:rsid w:val="00B26189"/>
    <w:rsid w:val="00B261A0"/>
    <w:rsid w:val="00B26275"/>
    <w:rsid w:val="00B26763"/>
    <w:rsid w:val="00B2756A"/>
    <w:rsid w:val="00B275C8"/>
    <w:rsid w:val="00B27640"/>
    <w:rsid w:val="00B27BC7"/>
    <w:rsid w:val="00B30207"/>
    <w:rsid w:val="00B304F3"/>
    <w:rsid w:val="00B3093D"/>
    <w:rsid w:val="00B30A97"/>
    <w:rsid w:val="00B30B61"/>
    <w:rsid w:val="00B30BE1"/>
    <w:rsid w:val="00B30DE5"/>
    <w:rsid w:val="00B30FA2"/>
    <w:rsid w:val="00B311F7"/>
    <w:rsid w:val="00B31327"/>
    <w:rsid w:val="00B31A53"/>
    <w:rsid w:val="00B32064"/>
    <w:rsid w:val="00B32148"/>
    <w:rsid w:val="00B32292"/>
    <w:rsid w:val="00B329E6"/>
    <w:rsid w:val="00B335A3"/>
    <w:rsid w:val="00B33B21"/>
    <w:rsid w:val="00B34982"/>
    <w:rsid w:val="00B354A7"/>
    <w:rsid w:val="00B354FB"/>
    <w:rsid w:val="00B35623"/>
    <w:rsid w:val="00B359C7"/>
    <w:rsid w:val="00B3605C"/>
    <w:rsid w:val="00B3710D"/>
    <w:rsid w:val="00B37175"/>
    <w:rsid w:val="00B3766D"/>
    <w:rsid w:val="00B37BF1"/>
    <w:rsid w:val="00B37FD3"/>
    <w:rsid w:val="00B4032C"/>
    <w:rsid w:val="00B40EC9"/>
    <w:rsid w:val="00B40FD8"/>
    <w:rsid w:val="00B4230B"/>
    <w:rsid w:val="00B42371"/>
    <w:rsid w:val="00B4274D"/>
    <w:rsid w:val="00B435E7"/>
    <w:rsid w:val="00B4394B"/>
    <w:rsid w:val="00B43CB7"/>
    <w:rsid w:val="00B444E7"/>
    <w:rsid w:val="00B445A4"/>
    <w:rsid w:val="00B4474E"/>
    <w:rsid w:val="00B44835"/>
    <w:rsid w:val="00B4537E"/>
    <w:rsid w:val="00B456E1"/>
    <w:rsid w:val="00B459F6"/>
    <w:rsid w:val="00B45A0C"/>
    <w:rsid w:val="00B45B0C"/>
    <w:rsid w:val="00B45DB9"/>
    <w:rsid w:val="00B4629B"/>
    <w:rsid w:val="00B46A75"/>
    <w:rsid w:val="00B47047"/>
    <w:rsid w:val="00B47360"/>
    <w:rsid w:val="00B4749A"/>
    <w:rsid w:val="00B474DB"/>
    <w:rsid w:val="00B475B6"/>
    <w:rsid w:val="00B47610"/>
    <w:rsid w:val="00B47D6A"/>
    <w:rsid w:val="00B47FC4"/>
    <w:rsid w:val="00B501FD"/>
    <w:rsid w:val="00B5047C"/>
    <w:rsid w:val="00B50681"/>
    <w:rsid w:val="00B50AF5"/>
    <w:rsid w:val="00B50D09"/>
    <w:rsid w:val="00B50E45"/>
    <w:rsid w:val="00B50FE6"/>
    <w:rsid w:val="00B51371"/>
    <w:rsid w:val="00B5147F"/>
    <w:rsid w:val="00B51DF4"/>
    <w:rsid w:val="00B53789"/>
    <w:rsid w:val="00B539B4"/>
    <w:rsid w:val="00B542CF"/>
    <w:rsid w:val="00B54633"/>
    <w:rsid w:val="00B548D0"/>
    <w:rsid w:val="00B5492C"/>
    <w:rsid w:val="00B554CE"/>
    <w:rsid w:val="00B561F0"/>
    <w:rsid w:val="00B569C3"/>
    <w:rsid w:val="00B569E9"/>
    <w:rsid w:val="00B571C1"/>
    <w:rsid w:val="00B572FE"/>
    <w:rsid w:val="00B57421"/>
    <w:rsid w:val="00B5786B"/>
    <w:rsid w:val="00B57C32"/>
    <w:rsid w:val="00B605B9"/>
    <w:rsid w:val="00B60CC7"/>
    <w:rsid w:val="00B60F4A"/>
    <w:rsid w:val="00B61259"/>
    <w:rsid w:val="00B61400"/>
    <w:rsid w:val="00B616D7"/>
    <w:rsid w:val="00B6190D"/>
    <w:rsid w:val="00B61A9E"/>
    <w:rsid w:val="00B61BC9"/>
    <w:rsid w:val="00B62A28"/>
    <w:rsid w:val="00B62B31"/>
    <w:rsid w:val="00B62C29"/>
    <w:rsid w:val="00B62C35"/>
    <w:rsid w:val="00B639B6"/>
    <w:rsid w:val="00B63ED8"/>
    <w:rsid w:val="00B645A9"/>
    <w:rsid w:val="00B64C68"/>
    <w:rsid w:val="00B6508B"/>
    <w:rsid w:val="00B650EF"/>
    <w:rsid w:val="00B6552C"/>
    <w:rsid w:val="00B65661"/>
    <w:rsid w:val="00B6589C"/>
    <w:rsid w:val="00B65AEC"/>
    <w:rsid w:val="00B65D72"/>
    <w:rsid w:val="00B65F5E"/>
    <w:rsid w:val="00B66490"/>
    <w:rsid w:val="00B66BA5"/>
    <w:rsid w:val="00B67807"/>
    <w:rsid w:val="00B70774"/>
    <w:rsid w:val="00B70A98"/>
    <w:rsid w:val="00B70B3E"/>
    <w:rsid w:val="00B71D75"/>
    <w:rsid w:val="00B71FA0"/>
    <w:rsid w:val="00B7235D"/>
    <w:rsid w:val="00B728A0"/>
    <w:rsid w:val="00B73063"/>
    <w:rsid w:val="00B7315B"/>
    <w:rsid w:val="00B73643"/>
    <w:rsid w:val="00B73735"/>
    <w:rsid w:val="00B73FF2"/>
    <w:rsid w:val="00B7404E"/>
    <w:rsid w:val="00B7503C"/>
    <w:rsid w:val="00B75448"/>
    <w:rsid w:val="00B754A9"/>
    <w:rsid w:val="00B75DDB"/>
    <w:rsid w:val="00B75E04"/>
    <w:rsid w:val="00B761F0"/>
    <w:rsid w:val="00B76273"/>
    <w:rsid w:val="00B77098"/>
    <w:rsid w:val="00B77939"/>
    <w:rsid w:val="00B77BF9"/>
    <w:rsid w:val="00B77F00"/>
    <w:rsid w:val="00B801A1"/>
    <w:rsid w:val="00B801E8"/>
    <w:rsid w:val="00B808CA"/>
    <w:rsid w:val="00B80B05"/>
    <w:rsid w:val="00B80C6F"/>
    <w:rsid w:val="00B80D0E"/>
    <w:rsid w:val="00B80F06"/>
    <w:rsid w:val="00B81340"/>
    <w:rsid w:val="00B813BB"/>
    <w:rsid w:val="00B818EB"/>
    <w:rsid w:val="00B819EA"/>
    <w:rsid w:val="00B81CCA"/>
    <w:rsid w:val="00B81EC5"/>
    <w:rsid w:val="00B82678"/>
    <w:rsid w:val="00B8289F"/>
    <w:rsid w:val="00B836A3"/>
    <w:rsid w:val="00B837DC"/>
    <w:rsid w:val="00B843EB"/>
    <w:rsid w:val="00B844C0"/>
    <w:rsid w:val="00B84B3B"/>
    <w:rsid w:val="00B84B90"/>
    <w:rsid w:val="00B85DD9"/>
    <w:rsid w:val="00B86435"/>
    <w:rsid w:val="00B86715"/>
    <w:rsid w:val="00B86A34"/>
    <w:rsid w:val="00B870D0"/>
    <w:rsid w:val="00B878C2"/>
    <w:rsid w:val="00B90098"/>
    <w:rsid w:val="00B90334"/>
    <w:rsid w:val="00B90F3E"/>
    <w:rsid w:val="00B92614"/>
    <w:rsid w:val="00B927A9"/>
    <w:rsid w:val="00B92C74"/>
    <w:rsid w:val="00B92DBE"/>
    <w:rsid w:val="00B930FA"/>
    <w:rsid w:val="00B931D2"/>
    <w:rsid w:val="00B935B5"/>
    <w:rsid w:val="00B93890"/>
    <w:rsid w:val="00B93B3C"/>
    <w:rsid w:val="00B9414A"/>
    <w:rsid w:val="00B942CD"/>
    <w:rsid w:val="00B94651"/>
    <w:rsid w:val="00B946D0"/>
    <w:rsid w:val="00B94A7D"/>
    <w:rsid w:val="00B94AEE"/>
    <w:rsid w:val="00B95A4A"/>
    <w:rsid w:val="00B95D11"/>
    <w:rsid w:val="00B96978"/>
    <w:rsid w:val="00B97246"/>
    <w:rsid w:val="00B977DB"/>
    <w:rsid w:val="00B97FF7"/>
    <w:rsid w:val="00BA06FB"/>
    <w:rsid w:val="00BA0836"/>
    <w:rsid w:val="00BA08B3"/>
    <w:rsid w:val="00BA0932"/>
    <w:rsid w:val="00BA095F"/>
    <w:rsid w:val="00BA0E58"/>
    <w:rsid w:val="00BA0F9B"/>
    <w:rsid w:val="00BA11AD"/>
    <w:rsid w:val="00BA132E"/>
    <w:rsid w:val="00BA17F5"/>
    <w:rsid w:val="00BA1BA6"/>
    <w:rsid w:val="00BA24BE"/>
    <w:rsid w:val="00BA26D9"/>
    <w:rsid w:val="00BA2B8E"/>
    <w:rsid w:val="00BA301F"/>
    <w:rsid w:val="00BA39CA"/>
    <w:rsid w:val="00BA3A5B"/>
    <w:rsid w:val="00BA3B1A"/>
    <w:rsid w:val="00BA3C08"/>
    <w:rsid w:val="00BA4D58"/>
    <w:rsid w:val="00BA51FA"/>
    <w:rsid w:val="00BA5263"/>
    <w:rsid w:val="00BA52A7"/>
    <w:rsid w:val="00BA54F8"/>
    <w:rsid w:val="00BA57FB"/>
    <w:rsid w:val="00BA5CA8"/>
    <w:rsid w:val="00BA6BAC"/>
    <w:rsid w:val="00BA6DC7"/>
    <w:rsid w:val="00BA7217"/>
    <w:rsid w:val="00BA73CD"/>
    <w:rsid w:val="00BA74FA"/>
    <w:rsid w:val="00BA7A2D"/>
    <w:rsid w:val="00BA7E36"/>
    <w:rsid w:val="00BB0B76"/>
    <w:rsid w:val="00BB0EF5"/>
    <w:rsid w:val="00BB1202"/>
    <w:rsid w:val="00BB1915"/>
    <w:rsid w:val="00BB19AB"/>
    <w:rsid w:val="00BB2073"/>
    <w:rsid w:val="00BB2196"/>
    <w:rsid w:val="00BB2909"/>
    <w:rsid w:val="00BB2A16"/>
    <w:rsid w:val="00BB2BE0"/>
    <w:rsid w:val="00BB2D18"/>
    <w:rsid w:val="00BB2D75"/>
    <w:rsid w:val="00BB2F58"/>
    <w:rsid w:val="00BB2F7C"/>
    <w:rsid w:val="00BB2FE3"/>
    <w:rsid w:val="00BB33B7"/>
    <w:rsid w:val="00BB354E"/>
    <w:rsid w:val="00BB3A21"/>
    <w:rsid w:val="00BB49D7"/>
    <w:rsid w:val="00BB4E3B"/>
    <w:rsid w:val="00BB517A"/>
    <w:rsid w:val="00BB55F5"/>
    <w:rsid w:val="00BB5924"/>
    <w:rsid w:val="00BB5978"/>
    <w:rsid w:val="00BB5A84"/>
    <w:rsid w:val="00BB62E1"/>
    <w:rsid w:val="00BB6549"/>
    <w:rsid w:val="00BB6B4F"/>
    <w:rsid w:val="00BB6C4F"/>
    <w:rsid w:val="00BB6D58"/>
    <w:rsid w:val="00BB6EF6"/>
    <w:rsid w:val="00BC01B9"/>
    <w:rsid w:val="00BC0DCB"/>
    <w:rsid w:val="00BC11A1"/>
    <w:rsid w:val="00BC24B8"/>
    <w:rsid w:val="00BC279C"/>
    <w:rsid w:val="00BC2831"/>
    <w:rsid w:val="00BC30DF"/>
    <w:rsid w:val="00BC34C0"/>
    <w:rsid w:val="00BC3625"/>
    <w:rsid w:val="00BC3BF7"/>
    <w:rsid w:val="00BC4210"/>
    <w:rsid w:val="00BC44D5"/>
    <w:rsid w:val="00BC46C6"/>
    <w:rsid w:val="00BC4811"/>
    <w:rsid w:val="00BC48EA"/>
    <w:rsid w:val="00BC492F"/>
    <w:rsid w:val="00BC4A2E"/>
    <w:rsid w:val="00BC50A6"/>
    <w:rsid w:val="00BC50CA"/>
    <w:rsid w:val="00BC5A3C"/>
    <w:rsid w:val="00BC5C19"/>
    <w:rsid w:val="00BC5E5F"/>
    <w:rsid w:val="00BC655D"/>
    <w:rsid w:val="00BC678D"/>
    <w:rsid w:val="00BC697A"/>
    <w:rsid w:val="00BC6990"/>
    <w:rsid w:val="00BC69D8"/>
    <w:rsid w:val="00BC6C89"/>
    <w:rsid w:val="00BC6F93"/>
    <w:rsid w:val="00BC7248"/>
    <w:rsid w:val="00BC7356"/>
    <w:rsid w:val="00BC79CB"/>
    <w:rsid w:val="00BC7A77"/>
    <w:rsid w:val="00BD029F"/>
    <w:rsid w:val="00BD0BF7"/>
    <w:rsid w:val="00BD0C96"/>
    <w:rsid w:val="00BD0FE2"/>
    <w:rsid w:val="00BD1C5B"/>
    <w:rsid w:val="00BD202A"/>
    <w:rsid w:val="00BD232B"/>
    <w:rsid w:val="00BD2FF4"/>
    <w:rsid w:val="00BD3B25"/>
    <w:rsid w:val="00BD3FCD"/>
    <w:rsid w:val="00BD40BC"/>
    <w:rsid w:val="00BD41C1"/>
    <w:rsid w:val="00BD4A9C"/>
    <w:rsid w:val="00BD4CB4"/>
    <w:rsid w:val="00BD4D7B"/>
    <w:rsid w:val="00BD5430"/>
    <w:rsid w:val="00BD54E7"/>
    <w:rsid w:val="00BD56B6"/>
    <w:rsid w:val="00BD5855"/>
    <w:rsid w:val="00BD5968"/>
    <w:rsid w:val="00BD6408"/>
    <w:rsid w:val="00BD6585"/>
    <w:rsid w:val="00BD7007"/>
    <w:rsid w:val="00BD71DC"/>
    <w:rsid w:val="00BD73FB"/>
    <w:rsid w:val="00BD770E"/>
    <w:rsid w:val="00BD7AB2"/>
    <w:rsid w:val="00BD7B07"/>
    <w:rsid w:val="00BE0E6E"/>
    <w:rsid w:val="00BE1051"/>
    <w:rsid w:val="00BE1183"/>
    <w:rsid w:val="00BE13F9"/>
    <w:rsid w:val="00BE1836"/>
    <w:rsid w:val="00BE18ED"/>
    <w:rsid w:val="00BE1C37"/>
    <w:rsid w:val="00BE1D53"/>
    <w:rsid w:val="00BE1DD1"/>
    <w:rsid w:val="00BE1DD4"/>
    <w:rsid w:val="00BE1F62"/>
    <w:rsid w:val="00BE2746"/>
    <w:rsid w:val="00BE27D3"/>
    <w:rsid w:val="00BE2FB4"/>
    <w:rsid w:val="00BE31ED"/>
    <w:rsid w:val="00BE35B2"/>
    <w:rsid w:val="00BE3913"/>
    <w:rsid w:val="00BE4D4F"/>
    <w:rsid w:val="00BE546F"/>
    <w:rsid w:val="00BE56C3"/>
    <w:rsid w:val="00BE5FA5"/>
    <w:rsid w:val="00BE628A"/>
    <w:rsid w:val="00BE6777"/>
    <w:rsid w:val="00BE6C14"/>
    <w:rsid w:val="00BE6CF6"/>
    <w:rsid w:val="00BE6DB2"/>
    <w:rsid w:val="00BE6DB8"/>
    <w:rsid w:val="00BE6FA8"/>
    <w:rsid w:val="00BE7165"/>
    <w:rsid w:val="00BE749B"/>
    <w:rsid w:val="00BE7C94"/>
    <w:rsid w:val="00BF005B"/>
    <w:rsid w:val="00BF0B70"/>
    <w:rsid w:val="00BF1308"/>
    <w:rsid w:val="00BF1A44"/>
    <w:rsid w:val="00BF1F37"/>
    <w:rsid w:val="00BF20BE"/>
    <w:rsid w:val="00BF20CD"/>
    <w:rsid w:val="00BF230D"/>
    <w:rsid w:val="00BF25BD"/>
    <w:rsid w:val="00BF268E"/>
    <w:rsid w:val="00BF28C6"/>
    <w:rsid w:val="00BF3722"/>
    <w:rsid w:val="00BF3987"/>
    <w:rsid w:val="00BF4824"/>
    <w:rsid w:val="00BF535C"/>
    <w:rsid w:val="00BF5954"/>
    <w:rsid w:val="00BF59C7"/>
    <w:rsid w:val="00BF5B63"/>
    <w:rsid w:val="00BF62B1"/>
    <w:rsid w:val="00BF6637"/>
    <w:rsid w:val="00BF6A62"/>
    <w:rsid w:val="00BF7A61"/>
    <w:rsid w:val="00C0018F"/>
    <w:rsid w:val="00C001BA"/>
    <w:rsid w:val="00C00830"/>
    <w:rsid w:val="00C01152"/>
    <w:rsid w:val="00C01155"/>
    <w:rsid w:val="00C02802"/>
    <w:rsid w:val="00C02BB7"/>
    <w:rsid w:val="00C03328"/>
    <w:rsid w:val="00C03386"/>
    <w:rsid w:val="00C038C4"/>
    <w:rsid w:val="00C03C42"/>
    <w:rsid w:val="00C03F60"/>
    <w:rsid w:val="00C042F1"/>
    <w:rsid w:val="00C0486A"/>
    <w:rsid w:val="00C049C8"/>
    <w:rsid w:val="00C05201"/>
    <w:rsid w:val="00C0561E"/>
    <w:rsid w:val="00C057CC"/>
    <w:rsid w:val="00C05F8B"/>
    <w:rsid w:val="00C060A4"/>
    <w:rsid w:val="00C064A4"/>
    <w:rsid w:val="00C06546"/>
    <w:rsid w:val="00C06F54"/>
    <w:rsid w:val="00C105CA"/>
    <w:rsid w:val="00C106F4"/>
    <w:rsid w:val="00C110C3"/>
    <w:rsid w:val="00C114C0"/>
    <w:rsid w:val="00C11500"/>
    <w:rsid w:val="00C11713"/>
    <w:rsid w:val="00C11E8C"/>
    <w:rsid w:val="00C11FC3"/>
    <w:rsid w:val="00C1283B"/>
    <w:rsid w:val="00C12990"/>
    <w:rsid w:val="00C135BD"/>
    <w:rsid w:val="00C13640"/>
    <w:rsid w:val="00C1369C"/>
    <w:rsid w:val="00C139AC"/>
    <w:rsid w:val="00C13BB9"/>
    <w:rsid w:val="00C13CEF"/>
    <w:rsid w:val="00C14121"/>
    <w:rsid w:val="00C1422B"/>
    <w:rsid w:val="00C14B5E"/>
    <w:rsid w:val="00C14D74"/>
    <w:rsid w:val="00C14E7E"/>
    <w:rsid w:val="00C153E0"/>
    <w:rsid w:val="00C15493"/>
    <w:rsid w:val="00C15C9C"/>
    <w:rsid w:val="00C15E54"/>
    <w:rsid w:val="00C16594"/>
    <w:rsid w:val="00C166DE"/>
    <w:rsid w:val="00C1692E"/>
    <w:rsid w:val="00C16A23"/>
    <w:rsid w:val="00C16B8B"/>
    <w:rsid w:val="00C1720E"/>
    <w:rsid w:val="00C17472"/>
    <w:rsid w:val="00C2015A"/>
    <w:rsid w:val="00C204E2"/>
    <w:rsid w:val="00C20C10"/>
    <w:rsid w:val="00C20EC9"/>
    <w:rsid w:val="00C212C6"/>
    <w:rsid w:val="00C21B62"/>
    <w:rsid w:val="00C21E61"/>
    <w:rsid w:val="00C21EC0"/>
    <w:rsid w:val="00C21F9C"/>
    <w:rsid w:val="00C22139"/>
    <w:rsid w:val="00C2257B"/>
    <w:rsid w:val="00C2307B"/>
    <w:rsid w:val="00C2332E"/>
    <w:rsid w:val="00C23BDB"/>
    <w:rsid w:val="00C23DB2"/>
    <w:rsid w:val="00C24314"/>
    <w:rsid w:val="00C244C3"/>
    <w:rsid w:val="00C2459E"/>
    <w:rsid w:val="00C245D8"/>
    <w:rsid w:val="00C24627"/>
    <w:rsid w:val="00C248CC"/>
    <w:rsid w:val="00C2492A"/>
    <w:rsid w:val="00C24D5F"/>
    <w:rsid w:val="00C24F14"/>
    <w:rsid w:val="00C25026"/>
    <w:rsid w:val="00C25385"/>
    <w:rsid w:val="00C25954"/>
    <w:rsid w:val="00C25BEC"/>
    <w:rsid w:val="00C25D82"/>
    <w:rsid w:val="00C26360"/>
    <w:rsid w:val="00C2667C"/>
    <w:rsid w:val="00C26E49"/>
    <w:rsid w:val="00C27BD1"/>
    <w:rsid w:val="00C27CB0"/>
    <w:rsid w:val="00C27ECD"/>
    <w:rsid w:val="00C27F12"/>
    <w:rsid w:val="00C301C8"/>
    <w:rsid w:val="00C30548"/>
    <w:rsid w:val="00C30556"/>
    <w:rsid w:val="00C30647"/>
    <w:rsid w:val="00C30BBA"/>
    <w:rsid w:val="00C30DE9"/>
    <w:rsid w:val="00C30E11"/>
    <w:rsid w:val="00C310A6"/>
    <w:rsid w:val="00C31442"/>
    <w:rsid w:val="00C319BB"/>
    <w:rsid w:val="00C31BA7"/>
    <w:rsid w:val="00C31BD9"/>
    <w:rsid w:val="00C32014"/>
    <w:rsid w:val="00C322B4"/>
    <w:rsid w:val="00C3297C"/>
    <w:rsid w:val="00C33020"/>
    <w:rsid w:val="00C331DE"/>
    <w:rsid w:val="00C334FB"/>
    <w:rsid w:val="00C339D9"/>
    <w:rsid w:val="00C34A03"/>
    <w:rsid w:val="00C34B5F"/>
    <w:rsid w:val="00C357F9"/>
    <w:rsid w:val="00C35F85"/>
    <w:rsid w:val="00C36327"/>
    <w:rsid w:val="00C36640"/>
    <w:rsid w:val="00C366F5"/>
    <w:rsid w:val="00C36A4A"/>
    <w:rsid w:val="00C36C45"/>
    <w:rsid w:val="00C372AC"/>
    <w:rsid w:val="00C37358"/>
    <w:rsid w:val="00C376A5"/>
    <w:rsid w:val="00C37A23"/>
    <w:rsid w:val="00C37BF2"/>
    <w:rsid w:val="00C37E2E"/>
    <w:rsid w:val="00C400B2"/>
    <w:rsid w:val="00C4050F"/>
    <w:rsid w:val="00C4059B"/>
    <w:rsid w:val="00C408ED"/>
    <w:rsid w:val="00C41339"/>
    <w:rsid w:val="00C4186C"/>
    <w:rsid w:val="00C42A1B"/>
    <w:rsid w:val="00C42B23"/>
    <w:rsid w:val="00C431E5"/>
    <w:rsid w:val="00C43672"/>
    <w:rsid w:val="00C43DB3"/>
    <w:rsid w:val="00C4407E"/>
    <w:rsid w:val="00C44114"/>
    <w:rsid w:val="00C441DC"/>
    <w:rsid w:val="00C442F2"/>
    <w:rsid w:val="00C445CF"/>
    <w:rsid w:val="00C4498E"/>
    <w:rsid w:val="00C44DDC"/>
    <w:rsid w:val="00C453FC"/>
    <w:rsid w:val="00C45C0A"/>
    <w:rsid w:val="00C4630D"/>
    <w:rsid w:val="00C46C58"/>
    <w:rsid w:val="00C47113"/>
    <w:rsid w:val="00C47615"/>
    <w:rsid w:val="00C47785"/>
    <w:rsid w:val="00C478A4"/>
    <w:rsid w:val="00C47D9A"/>
    <w:rsid w:val="00C47FC2"/>
    <w:rsid w:val="00C50252"/>
    <w:rsid w:val="00C50414"/>
    <w:rsid w:val="00C50577"/>
    <w:rsid w:val="00C50891"/>
    <w:rsid w:val="00C50B5D"/>
    <w:rsid w:val="00C50FC9"/>
    <w:rsid w:val="00C5111D"/>
    <w:rsid w:val="00C513A1"/>
    <w:rsid w:val="00C51954"/>
    <w:rsid w:val="00C51BF5"/>
    <w:rsid w:val="00C52916"/>
    <w:rsid w:val="00C53D18"/>
    <w:rsid w:val="00C5476F"/>
    <w:rsid w:val="00C549F7"/>
    <w:rsid w:val="00C55BCE"/>
    <w:rsid w:val="00C55D77"/>
    <w:rsid w:val="00C55E68"/>
    <w:rsid w:val="00C56008"/>
    <w:rsid w:val="00C565DF"/>
    <w:rsid w:val="00C56688"/>
    <w:rsid w:val="00C5671C"/>
    <w:rsid w:val="00C569ED"/>
    <w:rsid w:val="00C56C1A"/>
    <w:rsid w:val="00C56D79"/>
    <w:rsid w:val="00C56F80"/>
    <w:rsid w:val="00C57249"/>
    <w:rsid w:val="00C572F5"/>
    <w:rsid w:val="00C5753A"/>
    <w:rsid w:val="00C57558"/>
    <w:rsid w:val="00C57A2E"/>
    <w:rsid w:val="00C57A55"/>
    <w:rsid w:val="00C57E0F"/>
    <w:rsid w:val="00C57FF5"/>
    <w:rsid w:val="00C6053D"/>
    <w:rsid w:val="00C60816"/>
    <w:rsid w:val="00C60B17"/>
    <w:rsid w:val="00C60CB3"/>
    <w:rsid w:val="00C61388"/>
    <w:rsid w:val="00C6162E"/>
    <w:rsid w:val="00C616B2"/>
    <w:rsid w:val="00C61758"/>
    <w:rsid w:val="00C61B4E"/>
    <w:rsid w:val="00C62B0D"/>
    <w:rsid w:val="00C63B38"/>
    <w:rsid w:val="00C63C08"/>
    <w:rsid w:val="00C63CC6"/>
    <w:rsid w:val="00C6439F"/>
    <w:rsid w:val="00C64C61"/>
    <w:rsid w:val="00C65562"/>
    <w:rsid w:val="00C655B0"/>
    <w:rsid w:val="00C65C26"/>
    <w:rsid w:val="00C65DA8"/>
    <w:rsid w:val="00C66104"/>
    <w:rsid w:val="00C668D4"/>
    <w:rsid w:val="00C669DC"/>
    <w:rsid w:val="00C66D9D"/>
    <w:rsid w:val="00C67281"/>
    <w:rsid w:val="00C67391"/>
    <w:rsid w:val="00C673AD"/>
    <w:rsid w:val="00C674B2"/>
    <w:rsid w:val="00C6759C"/>
    <w:rsid w:val="00C67AD5"/>
    <w:rsid w:val="00C7066B"/>
    <w:rsid w:val="00C70C52"/>
    <w:rsid w:val="00C70FEC"/>
    <w:rsid w:val="00C717C0"/>
    <w:rsid w:val="00C71868"/>
    <w:rsid w:val="00C7188C"/>
    <w:rsid w:val="00C71B29"/>
    <w:rsid w:val="00C71B80"/>
    <w:rsid w:val="00C71D5C"/>
    <w:rsid w:val="00C7215B"/>
    <w:rsid w:val="00C72FF6"/>
    <w:rsid w:val="00C73505"/>
    <w:rsid w:val="00C73A93"/>
    <w:rsid w:val="00C73B3B"/>
    <w:rsid w:val="00C73C43"/>
    <w:rsid w:val="00C73EBB"/>
    <w:rsid w:val="00C746D0"/>
    <w:rsid w:val="00C7496B"/>
    <w:rsid w:val="00C74B70"/>
    <w:rsid w:val="00C74D2F"/>
    <w:rsid w:val="00C76328"/>
    <w:rsid w:val="00C76397"/>
    <w:rsid w:val="00C77303"/>
    <w:rsid w:val="00C77712"/>
    <w:rsid w:val="00C80097"/>
    <w:rsid w:val="00C80251"/>
    <w:rsid w:val="00C80680"/>
    <w:rsid w:val="00C80B2A"/>
    <w:rsid w:val="00C817AF"/>
    <w:rsid w:val="00C817BE"/>
    <w:rsid w:val="00C82426"/>
    <w:rsid w:val="00C824A8"/>
    <w:rsid w:val="00C82A61"/>
    <w:rsid w:val="00C82F86"/>
    <w:rsid w:val="00C83A80"/>
    <w:rsid w:val="00C84436"/>
    <w:rsid w:val="00C84439"/>
    <w:rsid w:val="00C84639"/>
    <w:rsid w:val="00C84ECE"/>
    <w:rsid w:val="00C85203"/>
    <w:rsid w:val="00C85346"/>
    <w:rsid w:val="00C85493"/>
    <w:rsid w:val="00C85ADF"/>
    <w:rsid w:val="00C85E26"/>
    <w:rsid w:val="00C861B8"/>
    <w:rsid w:val="00C86584"/>
    <w:rsid w:val="00C8747A"/>
    <w:rsid w:val="00C902F6"/>
    <w:rsid w:val="00C9079E"/>
    <w:rsid w:val="00C90982"/>
    <w:rsid w:val="00C90A65"/>
    <w:rsid w:val="00C90CCF"/>
    <w:rsid w:val="00C9130F"/>
    <w:rsid w:val="00C919AF"/>
    <w:rsid w:val="00C91C22"/>
    <w:rsid w:val="00C91EBF"/>
    <w:rsid w:val="00C91F6C"/>
    <w:rsid w:val="00C923AF"/>
    <w:rsid w:val="00C925F3"/>
    <w:rsid w:val="00C92885"/>
    <w:rsid w:val="00C9324D"/>
    <w:rsid w:val="00C935DF"/>
    <w:rsid w:val="00C9397E"/>
    <w:rsid w:val="00C93E6D"/>
    <w:rsid w:val="00C93F0E"/>
    <w:rsid w:val="00C94117"/>
    <w:rsid w:val="00C9421F"/>
    <w:rsid w:val="00C94400"/>
    <w:rsid w:val="00C94682"/>
    <w:rsid w:val="00C94D56"/>
    <w:rsid w:val="00C952B0"/>
    <w:rsid w:val="00C95832"/>
    <w:rsid w:val="00C95F83"/>
    <w:rsid w:val="00C9628A"/>
    <w:rsid w:val="00C96B09"/>
    <w:rsid w:val="00C97239"/>
    <w:rsid w:val="00C97283"/>
    <w:rsid w:val="00CA0061"/>
    <w:rsid w:val="00CA0264"/>
    <w:rsid w:val="00CA02D0"/>
    <w:rsid w:val="00CA0310"/>
    <w:rsid w:val="00CA0CF4"/>
    <w:rsid w:val="00CA0FBC"/>
    <w:rsid w:val="00CA10A8"/>
    <w:rsid w:val="00CA1331"/>
    <w:rsid w:val="00CA1ABE"/>
    <w:rsid w:val="00CA1AE9"/>
    <w:rsid w:val="00CA2282"/>
    <w:rsid w:val="00CA2A02"/>
    <w:rsid w:val="00CA2FE5"/>
    <w:rsid w:val="00CA31D5"/>
    <w:rsid w:val="00CA37ED"/>
    <w:rsid w:val="00CA4B2C"/>
    <w:rsid w:val="00CA4EE5"/>
    <w:rsid w:val="00CA4F65"/>
    <w:rsid w:val="00CA5075"/>
    <w:rsid w:val="00CA5924"/>
    <w:rsid w:val="00CA5D22"/>
    <w:rsid w:val="00CA5E8D"/>
    <w:rsid w:val="00CA7694"/>
    <w:rsid w:val="00CA7EF3"/>
    <w:rsid w:val="00CB0552"/>
    <w:rsid w:val="00CB12F9"/>
    <w:rsid w:val="00CB13A3"/>
    <w:rsid w:val="00CB218A"/>
    <w:rsid w:val="00CB3F59"/>
    <w:rsid w:val="00CB48D0"/>
    <w:rsid w:val="00CB498E"/>
    <w:rsid w:val="00CB51B2"/>
    <w:rsid w:val="00CB538D"/>
    <w:rsid w:val="00CB539F"/>
    <w:rsid w:val="00CB5A9E"/>
    <w:rsid w:val="00CB5EB8"/>
    <w:rsid w:val="00CB6663"/>
    <w:rsid w:val="00CB6E57"/>
    <w:rsid w:val="00CB746C"/>
    <w:rsid w:val="00CB79A9"/>
    <w:rsid w:val="00CB7C93"/>
    <w:rsid w:val="00CB7CCA"/>
    <w:rsid w:val="00CC1BEC"/>
    <w:rsid w:val="00CC244C"/>
    <w:rsid w:val="00CC2526"/>
    <w:rsid w:val="00CC26A7"/>
    <w:rsid w:val="00CC2BDD"/>
    <w:rsid w:val="00CC2D1F"/>
    <w:rsid w:val="00CC2F0F"/>
    <w:rsid w:val="00CC3193"/>
    <w:rsid w:val="00CC32AC"/>
    <w:rsid w:val="00CC3631"/>
    <w:rsid w:val="00CC3BF0"/>
    <w:rsid w:val="00CC3CD1"/>
    <w:rsid w:val="00CC44E8"/>
    <w:rsid w:val="00CC462B"/>
    <w:rsid w:val="00CC4869"/>
    <w:rsid w:val="00CC4A96"/>
    <w:rsid w:val="00CC4E84"/>
    <w:rsid w:val="00CC59B6"/>
    <w:rsid w:val="00CC59F4"/>
    <w:rsid w:val="00CC611B"/>
    <w:rsid w:val="00CC6304"/>
    <w:rsid w:val="00CC6602"/>
    <w:rsid w:val="00CC6EE7"/>
    <w:rsid w:val="00CC75F6"/>
    <w:rsid w:val="00CC76AE"/>
    <w:rsid w:val="00CD0516"/>
    <w:rsid w:val="00CD0ED2"/>
    <w:rsid w:val="00CD14D8"/>
    <w:rsid w:val="00CD19C6"/>
    <w:rsid w:val="00CD1B3E"/>
    <w:rsid w:val="00CD1CD7"/>
    <w:rsid w:val="00CD22B8"/>
    <w:rsid w:val="00CD28BA"/>
    <w:rsid w:val="00CD2BC9"/>
    <w:rsid w:val="00CD2E04"/>
    <w:rsid w:val="00CD34D6"/>
    <w:rsid w:val="00CD37A6"/>
    <w:rsid w:val="00CD3977"/>
    <w:rsid w:val="00CD397C"/>
    <w:rsid w:val="00CD3A00"/>
    <w:rsid w:val="00CD4146"/>
    <w:rsid w:val="00CD4425"/>
    <w:rsid w:val="00CD5742"/>
    <w:rsid w:val="00CD5A93"/>
    <w:rsid w:val="00CD5B00"/>
    <w:rsid w:val="00CD5F9E"/>
    <w:rsid w:val="00CD60D4"/>
    <w:rsid w:val="00CD63A4"/>
    <w:rsid w:val="00CD68C8"/>
    <w:rsid w:val="00CD68FE"/>
    <w:rsid w:val="00CD6EE8"/>
    <w:rsid w:val="00CD768D"/>
    <w:rsid w:val="00CD795C"/>
    <w:rsid w:val="00CD79B7"/>
    <w:rsid w:val="00CE0723"/>
    <w:rsid w:val="00CE0953"/>
    <w:rsid w:val="00CE0969"/>
    <w:rsid w:val="00CE14EA"/>
    <w:rsid w:val="00CE1F86"/>
    <w:rsid w:val="00CE21E4"/>
    <w:rsid w:val="00CE2839"/>
    <w:rsid w:val="00CE3419"/>
    <w:rsid w:val="00CE35F2"/>
    <w:rsid w:val="00CE3A2B"/>
    <w:rsid w:val="00CE3A54"/>
    <w:rsid w:val="00CE4106"/>
    <w:rsid w:val="00CE43A6"/>
    <w:rsid w:val="00CE43B6"/>
    <w:rsid w:val="00CE4BA6"/>
    <w:rsid w:val="00CE50C5"/>
    <w:rsid w:val="00CE53F2"/>
    <w:rsid w:val="00CE57D0"/>
    <w:rsid w:val="00CE59B0"/>
    <w:rsid w:val="00CE62F5"/>
    <w:rsid w:val="00CE6542"/>
    <w:rsid w:val="00CE65DD"/>
    <w:rsid w:val="00CE6690"/>
    <w:rsid w:val="00CE66A7"/>
    <w:rsid w:val="00CE6F65"/>
    <w:rsid w:val="00CE79B6"/>
    <w:rsid w:val="00CF0257"/>
    <w:rsid w:val="00CF10BF"/>
    <w:rsid w:val="00CF11CE"/>
    <w:rsid w:val="00CF1242"/>
    <w:rsid w:val="00CF1360"/>
    <w:rsid w:val="00CF1D44"/>
    <w:rsid w:val="00CF1E11"/>
    <w:rsid w:val="00CF23CC"/>
    <w:rsid w:val="00CF2667"/>
    <w:rsid w:val="00CF2CCA"/>
    <w:rsid w:val="00CF2EC1"/>
    <w:rsid w:val="00CF324E"/>
    <w:rsid w:val="00CF38DF"/>
    <w:rsid w:val="00CF38E8"/>
    <w:rsid w:val="00CF3D90"/>
    <w:rsid w:val="00CF45E5"/>
    <w:rsid w:val="00CF4AB7"/>
    <w:rsid w:val="00CF5146"/>
    <w:rsid w:val="00CF52A7"/>
    <w:rsid w:val="00CF54AF"/>
    <w:rsid w:val="00CF57FA"/>
    <w:rsid w:val="00CF584D"/>
    <w:rsid w:val="00CF5E3D"/>
    <w:rsid w:val="00CF5F93"/>
    <w:rsid w:val="00CF5FF9"/>
    <w:rsid w:val="00CF61EF"/>
    <w:rsid w:val="00CF64C6"/>
    <w:rsid w:val="00CF7041"/>
    <w:rsid w:val="00CF709E"/>
    <w:rsid w:val="00CF70D7"/>
    <w:rsid w:val="00CF7252"/>
    <w:rsid w:val="00CF726B"/>
    <w:rsid w:val="00CF7B4B"/>
    <w:rsid w:val="00CF7CA4"/>
    <w:rsid w:val="00D00594"/>
    <w:rsid w:val="00D018D2"/>
    <w:rsid w:val="00D01AFF"/>
    <w:rsid w:val="00D01BA5"/>
    <w:rsid w:val="00D01DEC"/>
    <w:rsid w:val="00D02374"/>
    <w:rsid w:val="00D02C32"/>
    <w:rsid w:val="00D0340A"/>
    <w:rsid w:val="00D03CC5"/>
    <w:rsid w:val="00D0471F"/>
    <w:rsid w:val="00D04A8B"/>
    <w:rsid w:val="00D05168"/>
    <w:rsid w:val="00D05209"/>
    <w:rsid w:val="00D058E3"/>
    <w:rsid w:val="00D06131"/>
    <w:rsid w:val="00D07102"/>
    <w:rsid w:val="00D075FD"/>
    <w:rsid w:val="00D0790C"/>
    <w:rsid w:val="00D07955"/>
    <w:rsid w:val="00D10C0C"/>
    <w:rsid w:val="00D10D4F"/>
    <w:rsid w:val="00D1104A"/>
    <w:rsid w:val="00D111BA"/>
    <w:rsid w:val="00D114AE"/>
    <w:rsid w:val="00D11ADD"/>
    <w:rsid w:val="00D12D79"/>
    <w:rsid w:val="00D12DCC"/>
    <w:rsid w:val="00D139CB"/>
    <w:rsid w:val="00D14033"/>
    <w:rsid w:val="00D14420"/>
    <w:rsid w:val="00D14545"/>
    <w:rsid w:val="00D145A4"/>
    <w:rsid w:val="00D1485B"/>
    <w:rsid w:val="00D148AA"/>
    <w:rsid w:val="00D148B9"/>
    <w:rsid w:val="00D14917"/>
    <w:rsid w:val="00D14B76"/>
    <w:rsid w:val="00D1570B"/>
    <w:rsid w:val="00D15833"/>
    <w:rsid w:val="00D15956"/>
    <w:rsid w:val="00D15B49"/>
    <w:rsid w:val="00D15DB4"/>
    <w:rsid w:val="00D17421"/>
    <w:rsid w:val="00D20246"/>
    <w:rsid w:val="00D2034E"/>
    <w:rsid w:val="00D204E0"/>
    <w:rsid w:val="00D20516"/>
    <w:rsid w:val="00D207DB"/>
    <w:rsid w:val="00D20A4A"/>
    <w:rsid w:val="00D21D4C"/>
    <w:rsid w:val="00D22202"/>
    <w:rsid w:val="00D226C3"/>
    <w:rsid w:val="00D236C4"/>
    <w:rsid w:val="00D23B09"/>
    <w:rsid w:val="00D23E26"/>
    <w:rsid w:val="00D23F4B"/>
    <w:rsid w:val="00D243C3"/>
    <w:rsid w:val="00D247AC"/>
    <w:rsid w:val="00D256CC"/>
    <w:rsid w:val="00D25871"/>
    <w:rsid w:val="00D27CA3"/>
    <w:rsid w:val="00D30951"/>
    <w:rsid w:val="00D30C20"/>
    <w:rsid w:val="00D30E14"/>
    <w:rsid w:val="00D312AD"/>
    <w:rsid w:val="00D31327"/>
    <w:rsid w:val="00D318FE"/>
    <w:rsid w:val="00D319A6"/>
    <w:rsid w:val="00D31AD7"/>
    <w:rsid w:val="00D31B95"/>
    <w:rsid w:val="00D31E2E"/>
    <w:rsid w:val="00D31F49"/>
    <w:rsid w:val="00D32140"/>
    <w:rsid w:val="00D32D30"/>
    <w:rsid w:val="00D33402"/>
    <w:rsid w:val="00D335AD"/>
    <w:rsid w:val="00D341E4"/>
    <w:rsid w:val="00D345E2"/>
    <w:rsid w:val="00D34697"/>
    <w:rsid w:val="00D34844"/>
    <w:rsid w:val="00D34964"/>
    <w:rsid w:val="00D34BB0"/>
    <w:rsid w:val="00D34C29"/>
    <w:rsid w:val="00D350A2"/>
    <w:rsid w:val="00D361F5"/>
    <w:rsid w:val="00D363DE"/>
    <w:rsid w:val="00D36792"/>
    <w:rsid w:val="00D36AB5"/>
    <w:rsid w:val="00D36B1C"/>
    <w:rsid w:val="00D36F36"/>
    <w:rsid w:val="00D3730C"/>
    <w:rsid w:val="00D37FBB"/>
    <w:rsid w:val="00D401E0"/>
    <w:rsid w:val="00D4080E"/>
    <w:rsid w:val="00D40B20"/>
    <w:rsid w:val="00D41E81"/>
    <w:rsid w:val="00D41EF7"/>
    <w:rsid w:val="00D4253F"/>
    <w:rsid w:val="00D427E7"/>
    <w:rsid w:val="00D428D4"/>
    <w:rsid w:val="00D43428"/>
    <w:rsid w:val="00D43598"/>
    <w:rsid w:val="00D4387D"/>
    <w:rsid w:val="00D43A68"/>
    <w:rsid w:val="00D44087"/>
    <w:rsid w:val="00D44214"/>
    <w:rsid w:val="00D448F6"/>
    <w:rsid w:val="00D4589F"/>
    <w:rsid w:val="00D4632B"/>
    <w:rsid w:val="00D467CA"/>
    <w:rsid w:val="00D46929"/>
    <w:rsid w:val="00D46C67"/>
    <w:rsid w:val="00D47658"/>
    <w:rsid w:val="00D477AD"/>
    <w:rsid w:val="00D508E3"/>
    <w:rsid w:val="00D50BEC"/>
    <w:rsid w:val="00D50D52"/>
    <w:rsid w:val="00D50FA5"/>
    <w:rsid w:val="00D51106"/>
    <w:rsid w:val="00D51642"/>
    <w:rsid w:val="00D5190D"/>
    <w:rsid w:val="00D51954"/>
    <w:rsid w:val="00D51D4A"/>
    <w:rsid w:val="00D52B65"/>
    <w:rsid w:val="00D52C33"/>
    <w:rsid w:val="00D52E47"/>
    <w:rsid w:val="00D53B2A"/>
    <w:rsid w:val="00D542AD"/>
    <w:rsid w:val="00D5481B"/>
    <w:rsid w:val="00D54885"/>
    <w:rsid w:val="00D55029"/>
    <w:rsid w:val="00D550B4"/>
    <w:rsid w:val="00D551CA"/>
    <w:rsid w:val="00D55CE6"/>
    <w:rsid w:val="00D55DB8"/>
    <w:rsid w:val="00D5619D"/>
    <w:rsid w:val="00D5630B"/>
    <w:rsid w:val="00D564B9"/>
    <w:rsid w:val="00D56D5F"/>
    <w:rsid w:val="00D56F6E"/>
    <w:rsid w:val="00D56FA6"/>
    <w:rsid w:val="00D57159"/>
    <w:rsid w:val="00D57C10"/>
    <w:rsid w:val="00D57E1A"/>
    <w:rsid w:val="00D604C9"/>
    <w:rsid w:val="00D608AD"/>
    <w:rsid w:val="00D60953"/>
    <w:rsid w:val="00D60B01"/>
    <w:rsid w:val="00D60F60"/>
    <w:rsid w:val="00D611D7"/>
    <w:rsid w:val="00D61227"/>
    <w:rsid w:val="00D6156B"/>
    <w:rsid w:val="00D61822"/>
    <w:rsid w:val="00D6197C"/>
    <w:rsid w:val="00D61A22"/>
    <w:rsid w:val="00D61AD1"/>
    <w:rsid w:val="00D61F94"/>
    <w:rsid w:val="00D620E4"/>
    <w:rsid w:val="00D62A45"/>
    <w:rsid w:val="00D63046"/>
    <w:rsid w:val="00D64217"/>
    <w:rsid w:val="00D64262"/>
    <w:rsid w:val="00D6426E"/>
    <w:rsid w:val="00D6473B"/>
    <w:rsid w:val="00D64A8A"/>
    <w:rsid w:val="00D64AB4"/>
    <w:rsid w:val="00D64F69"/>
    <w:rsid w:val="00D64F7B"/>
    <w:rsid w:val="00D64F85"/>
    <w:rsid w:val="00D652DD"/>
    <w:rsid w:val="00D654C0"/>
    <w:rsid w:val="00D65756"/>
    <w:rsid w:val="00D65D4B"/>
    <w:rsid w:val="00D65E22"/>
    <w:rsid w:val="00D66675"/>
    <w:rsid w:val="00D66BD4"/>
    <w:rsid w:val="00D66C67"/>
    <w:rsid w:val="00D66D34"/>
    <w:rsid w:val="00D66DC3"/>
    <w:rsid w:val="00D66EE3"/>
    <w:rsid w:val="00D673A2"/>
    <w:rsid w:val="00D67573"/>
    <w:rsid w:val="00D675C0"/>
    <w:rsid w:val="00D677D8"/>
    <w:rsid w:val="00D67B03"/>
    <w:rsid w:val="00D67FDE"/>
    <w:rsid w:val="00D70005"/>
    <w:rsid w:val="00D70137"/>
    <w:rsid w:val="00D70568"/>
    <w:rsid w:val="00D70DFE"/>
    <w:rsid w:val="00D7103F"/>
    <w:rsid w:val="00D7122E"/>
    <w:rsid w:val="00D71567"/>
    <w:rsid w:val="00D71B4C"/>
    <w:rsid w:val="00D71F73"/>
    <w:rsid w:val="00D7279C"/>
    <w:rsid w:val="00D72DBD"/>
    <w:rsid w:val="00D73075"/>
    <w:rsid w:val="00D74289"/>
    <w:rsid w:val="00D74698"/>
    <w:rsid w:val="00D7495D"/>
    <w:rsid w:val="00D7553D"/>
    <w:rsid w:val="00D75EAC"/>
    <w:rsid w:val="00D76178"/>
    <w:rsid w:val="00D762A9"/>
    <w:rsid w:val="00D763BD"/>
    <w:rsid w:val="00D76C5E"/>
    <w:rsid w:val="00D76D68"/>
    <w:rsid w:val="00D77003"/>
    <w:rsid w:val="00D77222"/>
    <w:rsid w:val="00D77A50"/>
    <w:rsid w:val="00D80543"/>
    <w:rsid w:val="00D80A62"/>
    <w:rsid w:val="00D81153"/>
    <w:rsid w:val="00D811CE"/>
    <w:rsid w:val="00D8166E"/>
    <w:rsid w:val="00D81737"/>
    <w:rsid w:val="00D819A7"/>
    <w:rsid w:val="00D81AB1"/>
    <w:rsid w:val="00D81B3C"/>
    <w:rsid w:val="00D81D5F"/>
    <w:rsid w:val="00D81D92"/>
    <w:rsid w:val="00D823A2"/>
    <w:rsid w:val="00D82664"/>
    <w:rsid w:val="00D826F9"/>
    <w:rsid w:val="00D82CDE"/>
    <w:rsid w:val="00D8361E"/>
    <w:rsid w:val="00D8416E"/>
    <w:rsid w:val="00D8448E"/>
    <w:rsid w:val="00D84AF0"/>
    <w:rsid w:val="00D84F43"/>
    <w:rsid w:val="00D8508F"/>
    <w:rsid w:val="00D8542A"/>
    <w:rsid w:val="00D85AE8"/>
    <w:rsid w:val="00D85EDE"/>
    <w:rsid w:val="00D8619A"/>
    <w:rsid w:val="00D86EEA"/>
    <w:rsid w:val="00D8703F"/>
    <w:rsid w:val="00D87446"/>
    <w:rsid w:val="00D875CA"/>
    <w:rsid w:val="00D8765A"/>
    <w:rsid w:val="00D87AFF"/>
    <w:rsid w:val="00D90781"/>
    <w:rsid w:val="00D90BE0"/>
    <w:rsid w:val="00D90C63"/>
    <w:rsid w:val="00D9112A"/>
    <w:rsid w:val="00D911A0"/>
    <w:rsid w:val="00D91306"/>
    <w:rsid w:val="00D915D7"/>
    <w:rsid w:val="00D91C17"/>
    <w:rsid w:val="00D91D50"/>
    <w:rsid w:val="00D91E7E"/>
    <w:rsid w:val="00D91F8D"/>
    <w:rsid w:val="00D920AE"/>
    <w:rsid w:val="00D9215D"/>
    <w:rsid w:val="00D926F7"/>
    <w:rsid w:val="00D92887"/>
    <w:rsid w:val="00D9288A"/>
    <w:rsid w:val="00D934E3"/>
    <w:rsid w:val="00D941DE"/>
    <w:rsid w:val="00D943F0"/>
    <w:rsid w:val="00D944D3"/>
    <w:rsid w:val="00D95BCE"/>
    <w:rsid w:val="00D961A1"/>
    <w:rsid w:val="00D961D3"/>
    <w:rsid w:val="00D961D8"/>
    <w:rsid w:val="00D963CF"/>
    <w:rsid w:val="00D96407"/>
    <w:rsid w:val="00D96933"/>
    <w:rsid w:val="00D96E81"/>
    <w:rsid w:val="00D9772B"/>
    <w:rsid w:val="00DA01B3"/>
    <w:rsid w:val="00DA0A50"/>
    <w:rsid w:val="00DA0D1B"/>
    <w:rsid w:val="00DA126F"/>
    <w:rsid w:val="00DA13A7"/>
    <w:rsid w:val="00DA1DF6"/>
    <w:rsid w:val="00DA1F1C"/>
    <w:rsid w:val="00DA1F95"/>
    <w:rsid w:val="00DA24D1"/>
    <w:rsid w:val="00DA25F9"/>
    <w:rsid w:val="00DA29A2"/>
    <w:rsid w:val="00DA2A6D"/>
    <w:rsid w:val="00DA2B77"/>
    <w:rsid w:val="00DA366E"/>
    <w:rsid w:val="00DA3895"/>
    <w:rsid w:val="00DA3D25"/>
    <w:rsid w:val="00DA3DF7"/>
    <w:rsid w:val="00DA3E76"/>
    <w:rsid w:val="00DA412B"/>
    <w:rsid w:val="00DA4F04"/>
    <w:rsid w:val="00DA5056"/>
    <w:rsid w:val="00DA51E6"/>
    <w:rsid w:val="00DA5440"/>
    <w:rsid w:val="00DA5A80"/>
    <w:rsid w:val="00DA633D"/>
    <w:rsid w:val="00DA67B6"/>
    <w:rsid w:val="00DA7368"/>
    <w:rsid w:val="00DA79DE"/>
    <w:rsid w:val="00DA7C90"/>
    <w:rsid w:val="00DA7D28"/>
    <w:rsid w:val="00DA7F3A"/>
    <w:rsid w:val="00DB0046"/>
    <w:rsid w:val="00DB0123"/>
    <w:rsid w:val="00DB02ED"/>
    <w:rsid w:val="00DB0DF7"/>
    <w:rsid w:val="00DB18FC"/>
    <w:rsid w:val="00DB1ADC"/>
    <w:rsid w:val="00DB1DFB"/>
    <w:rsid w:val="00DB22E2"/>
    <w:rsid w:val="00DB256F"/>
    <w:rsid w:val="00DB260C"/>
    <w:rsid w:val="00DB2A3F"/>
    <w:rsid w:val="00DB2B9E"/>
    <w:rsid w:val="00DB2C33"/>
    <w:rsid w:val="00DB3394"/>
    <w:rsid w:val="00DB37FD"/>
    <w:rsid w:val="00DB3831"/>
    <w:rsid w:val="00DB3F63"/>
    <w:rsid w:val="00DB4644"/>
    <w:rsid w:val="00DB4E5A"/>
    <w:rsid w:val="00DB54C4"/>
    <w:rsid w:val="00DB556E"/>
    <w:rsid w:val="00DB5AD8"/>
    <w:rsid w:val="00DB6707"/>
    <w:rsid w:val="00DB6A40"/>
    <w:rsid w:val="00DB7107"/>
    <w:rsid w:val="00DB72D8"/>
    <w:rsid w:val="00DB7BF9"/>
    <w:rsid w:val="00DB7C4C"/>
    <w:rsid w:val="00DB7EA1"/>
    <w:rsid w:val="00DC0AA6"/>
    <w:rsid w:val="00DC0B63"/>
    <w:rsid w:val="00DC0CB9"/>
    <w:rsid w:val="00DC0E6F"/>
    <w:rsid w:val="00DC178E"/>
    <w:rsid w:val="00DC17A4"/>
    <w:rsid w:val="00DC18AC"/>
    <w:rsid w:val="00DC2476"/>
    <w:rsid w:val="00DC28C9"/>
    <w:rsid w:val="00DC2D4B"/>
    <w:rsid w:val="00DC326B"/>
    <w:rsid w:val="00DC343C"/>
    <w:rsid w:val="00DC3519"/>
    <w:rsid w:val="00DC3537"/>
    <w:rsid w:val="00DC3569"/>
    <w:rsid w:val="00DC3B96"/>
    <w:rsid w:val="00DC3B9E"/>
    <w:rsid w:val="00DC3BE4"/>
    <w:rsid w:val="00DC4BA1"/>
    <w:rsid w:val="00DC51A3"/>
    <w:rsid w:val="00DC5267"/>
    <w:rsid w:val="00DC546A"/>
    <w:rsid w:val="00DC595F"/>
    <w:rsid w:val="00DC6CFF"/>
    <w:rsid w:val="00DC6FEE"/>
    <w:rsid w:val="00DC744D"/>
    <w:rsid w:val="00DC7457"/>
    <w:rsid w:val="00DC74C2"/>
    <w:rsid w:val="00DC79AE"/>
    <w:rsid w:val="00DC7D84"/>
    <w:rsid w:val="00DD06A7"/>
    <w:rsid w:val="00DD081D"/>
    <w:rsid w:val="00DD15B8"/>
    <w:rsid w:val="00DD1645"/>
    <w:rsid w:val="00DD1859"/>
    <w:rsid w:val="00DD19C1"/>
    <w:rsid w:val="00DD1AD5"/>
    <w:rsid w:val="00DD1B37"/>
    <w:rsid w:val="00DD28AE"/>
    <w:rsid w:val="00DD2E21"/>
    <w:rsid w:val="00DD2FA7"/>
    <w:rsid w:val="00DD3165"/>
    <w:rsid w:val="00DD3369"/>
    <w:rsid w:val="00DD3C61"/>
    <w:rsid w:val="00DD3CD4"/>
    <w:rsid w:val="00DD46BF"/>
    <w:rsid w:val="00DD4CD0"/>
    <w:rsid w:val="00DD4EB6"/>
    <w:rsid w:val="00DD556F"/>
    <w:rsid w:val="00DD5841"/>
    <w:rsid w:val="00DD5A92"/>
    <w:rsid w:val="00DD63E5"/>
    <w:rsid w:val="00DD6409"/>
    <w:rsid w:val="00DD6B26"/>
    <w:rsid w:val="00DD6BB1"/>
    <w:rsid w:val="00DD7653"/>
    <w:rsid w:val="00DD7776"/>
    <w:rsid w:val="00DE03D9"/>
    <w:rsid w:val="00DE1514"/>
    <w:rsid w:val="00DE19B9"/>
    <w:rsid w:val="00DE1A37"/>
    <w:rsid w:val="00DE1B58"/>
    <w:rsid w:val="00DE209F"/>
    <w:rsid w:val="00DE296D"/>
    <w:rsid w:val="00DE2FE8"/>
    <w:rsid w:val="00DE3169"/>
    <w:rsid w:val="00DE350C"/>
    <w:rsid w:val="00DE39EC"/>
    <w:rsid w:val="00DE3B8C"/>
    <w:rsid w:val="00DE3C5D"/>
    <w:rsid w:val="00DE420C"/>
    <w:rsid w:val="00DE4AE4"/>
    <w:rsid w:val="00DE4D0A"/>
    <w:rsid w:val="00DE4D7E"/>
    <w:rsid w:val="00DE56A9"/>
    <w:rsid w:val="00DE5732"/>
    <w:rsid w:val="00DE5D46"/>
    <w:rsid w:val="00DE61B2"/>
    <w:rsid w:val="00DE6A1A"/>
    <w:rsid w:val="00DE6D84"/>
    <w:rsid w:val="00DE6FC4"/>
    <w:rsid w:val="00DE6FFB"/>
    <w:rsid w:val="00DE766B"/>
    <w:rsid w:val="00DF1070"/>
    <w:rsid w:val="00DF11DE"/>
    <w:rsid w:val="00DF16CA"/>
    <w:rsid w:val="00DF1B93"/>
    <w:rsid w:val="00DF1EC7"/>
    <w:rsid w:val="00DF22DC"/>
    <w:rsid w:val="00DF26A2"/>
    <w:rsid w:val="00DF29DF"/>
    <w:rsid w:val="00DF2A7E"/>
    <w:rsid w:val="00DF3501"/>
    <w:rsid w:val="00DF3858"/>
    <w:rsid w:val="00DF3D6F"/>
    <w:rsid w:val="00DF424C"/>
    <w:rsid w:val="00DF4951"/>
    <w:rsid w:val="00DF587A"/>
    <w:rsid w:val="00DF5CA9"/>
    <w:rsid w:val="00DF62D7"/>
    <w:rsid w:val="00DF6684"/>
    <w:rsid w:val="00DF6989"/>
    <w:rsid w:val="00DF6D3E"/>
    <w:rsid w:val="00DF76C2"/>
    <w:rsid w:val="00DF780B"/>
    <w:rsid w:val="00DF7A78"/>
    <w:rsid w:val="00DF7D79"/>
    <w:rsid w:val="00E002E7"/>
    <w:rsid w:val="00E006B5"/>
    <w:rsid w:val="00E007D1"/>
    <w:rsid w:val="00E00BD4"/>
    <w:rsid w:val="00E0142A"/>
    <w:rsid w:val="00E0158E"/>
    <w:rsid w:val="00E01672"/>
    <w:rsid w:val="00E01755"/>
    <w:rsid w:val="00E01930"/>
    <w:rsid w:val="00E01AF9"/>
    <w:rsid w:val="00E0207B"/>
    <w:rsid w:val="00E024F1"/>
    <w:rsid w:val="00E026BA"/>
    <w:rsid w:val="00E02A2F"/>
    <w:rsid w:val="00E02CCB"/>
    <w:rsid w:val="00E02D89"/>
    <w:rsid w:val="00E034CF"/>
    <w:rsid w:val="00E036BB"/>
    <w:rsid w:val="00E03903"/>
    <w:rsid w:val="00E03BFE"/>
    <w:rsid w:val="00E03DAD"/>
    <w:rsid w:val="00E04151"/>
    <w:rsid w:val="00E0476E"/>
    <w:rsid w:val="00E0491A"/>
    <w:rsid w:val="00E0519B"/>
    <w:rsid w:val="00E06815"/>
    <w:rsid w:val="00E0690B"/>
    <w:rsid w:val="00E072E6"/>
    <w:rsid w:val="00E073BA"/>
    <w:rsid w:val="00E07648"/>
    <w:rsid w:val="00E0786A"/>
    <w:rsid w:val="00E0793C"/>
    <w:rsid w:val="00E07EE4"/>
    <w:rsid w:val="00E1077E"/>
    <w:rsid w:val="00E10D81"/>
    <w:rsid w:val="00E10EE6"/>
    <w:rsid w:val="00E11331"/>
    <w:rsid w:val="00E1142A"/>
    <w:rsid w:val="00E115AC"/>
    <w:rsid w:val="00E11D0C"/>
    <w:rsid w:val="00E11F2E"/>
    <w:rsid w:val="00E12201"/>
    <w:rsid w:val="00E12606"/>
    <w:rsid w:val="00E12BEC"/>
    <w:rsid w:val="00E13262"/>
    <w:rsid w:val="00E139CB"/>
    <w:rsid w:val="00E13BC3"/>
    <w:rsid w:val="00E13E10"/>
    <w:rsid w:val="00E13EAC"/>
    <w:rsid w:val="00E14858"/>
    <w:rsid w:val="00E14B27"/>
    <w:rsid w:val="00E14CCD"/>
    <w:rsid w:val="00E14D82"/>
    <w:rsid w:val="00E14F00"/>
    <w:rsid w:val="00E15088"/>
    <w:rsid w:val="00E152C5"/>
    <w:rsid w:val="00E153CF"/>
    <w:rsid w:val="00E15558"/>
    <w:rsid w:val="00E15A2F"/>
    <w:rsid w:val="00E16589"/>
    <w:rsid w:val="00E166CE"/>
    <w:rsid w:val="00E16995"/>
    <w:rsid w:val="00E16F72"/>
    <w:rsid w:val="00E17984"/>
    <w:rsid w:val="00E17E53"/>
    <w:rsid w:val="00E17E79"/>
    <w:rsid w:val="00E2009B"/>
    <w:rsid w:val="00E200A4"/>
    <w:rsid w:val="00E20888"/>
    <w:rsid w:val="00E20BDE"/>
    <w:rsid w:val="00E20F42"/>
    <w:rsid w:val="00E20F9B"/>
    <w:rsid w:val="00E210F5"/>
    <w:rsid w:val="00E215C8"/>
    <w:rsid w:val="00E21CBA"/>
    <w:rsid w:val="00E21F39"/>
    <w:rsid w:val="00E221A9"/>
    <w:rsid w:val="00E22998"/>
    <w:rsid w:val="00E22AB6"/>
    <w:rsid w:val="00E22D29"/>
    <w:rsid w:val="00E2328F"/>
    <w:rsid w:val="00E233FD"/>
    <w:rsid w:val="00E23780"/>
    <w:rsid w:val="00E23FC0"/>
    <w:rsid w:val="00E2411C"/>
    <w:rsid w:val="00E2453A"/>
    <w:rsid w:val="00E24B36"/>
    <w:rsid w:val="00E24F16"/>
    <w:rsid w:val="00E250AB"/>
    <w:rsid w:val="00E25446"/>
    <w:rsid w:val="00E25FE4"/>
    <w:rsid w:val="00E263F5"/>
    <w:rsid w:val="00E26747"/>
    <w:rsid w:val="00E26AFF"/>
    <w:rsid w:val="00E2712E"/>
    <w:rsid w:val="00E27200"/>
    <w:rsid w:val="00E27500"/>
    <w:rsid w:val="00E2756C"/>
    <w:rsid w:val="00E27A05"/>
    <w:rsid w:val="00E27C1F"/>
    <w:rsid w:val="00E3010D"/>
    <w:rsid w:val="00E30288"/>
    <w:rsid w:val="00E30BF8"/>
    <w:rsid w:val="00E30EB1"/>
    <w:rsid w:val="00E314C1"/>
    <w:rsid w:val="00E317DF"/>
    <w:rsid w:val="00E31F2E"/>
    <w:rsid w:val="00E3238C"/>
    <w:rsid w:val="00E3258D"/>
    <w:rsid w:val="00E32B14"/>
    <w:rsid w:val="00E330AB"/>
    <w:rsid w:val="00E33426"/>
    <w:rsid w:val="00E33B45"/>
    <w:rsid w:val="00E343FF"/>
    <w:rsid w:val="00E34A48"/>
    <w:rsid w:val="00E35049"/>
    <w:rsid w:val="00E352AD"/>
    <w:rsid w:val="00E3538B"/>
    <w:rsid w:val="00E353E5"/>
    <w:rsid w:val="00E357EE"/>
    <w:rsid w:val="00E358BC"/>
    <w:rsid w:val="00E36EF1"/>
    <w:rsid w:val="00E3771E"/>
    <w:rsid w:val="00E37841"/>
    <w:rsid w:val="00E37B31"/>
    <w:rsid w:val="00E403F0"/>
    <w:rsid w:val="00E40BD0"/>
    <w:rsid w:val="00E414FE"/>
    <w:rsid w:val="00E416E1"/>
    <w:rsid w:val="00E41B9F"/>
    <w:rsid w:val="00E42738"/>
    <w:rsid w:val="00E42942"/>
    <w:rsid w:val="00E43382"/>
    <w:rsid w:val="00E445DF"/>
    <w:rsid w:val="00E44A91"/>
    <w:rsid w:val="00E44C78"/>
    <w:rsid w:val="00E44E07"/>
    <w:rsid w:val="00E44E2E"/>
    <w:rsid w:val="00E453B4"/>
    <w:rsid w:val="00E458B9"/>
    <w:rsid w:val="00E4611D"/>
    <w:rsid w:val="00E463DF"/>
    <w:rsid w:val="00E4784D"/>
    <w:rsid w:val="00E4793B"/>
    <w:rsid w:val="00E507D9"/>
    <w:rsid w:val="00E50994"/>
    <w:rsid w:val="00E50AAC"/>
    <w:rsid w:val="00E513DC"/>
    <w:rsid w:val="00E51845"/>
    <w:rsid w:val="00E51982"/>
    <w:rsid w:val="00E51AEC"/>
    <w:rsid w:val="00E52033"/>
    <w:rsid w:val="00E520CE"/>
    <w:rsid w:val="00E5234E"/>
    <w:rsid w:val="00E52AA9"/>
    <w:rsid w:val="00E53347"/>
    <w:rsid w:val="00E53AB2"/>
    <w:rsid w:val="00E53D13"/>
    <w:rsid w:val="00E5464B"/>
    <w:rsid w:val="00E550D2"/>
    <w:rsid w:val="00E558DC"/>
    <w:rsid w:val="00E559B3"/>
    <w:rsid w:val="00E55C8A"/>
    <w:rsid w:val="00E56779"/>
    <w:rsid w:val="00E567FA"/>
    <w:rsid w:val="00E56966"/>
    <w:rsid w:val="00E56C87"/>
    <w:rsid w:val="00E56DE7"/>
    <w:rsid w:val="00E56EAE"/>
    <w:rsid w:val="00E56FF8"/>
    <w:rsid w:val="00E57159"/>
    <w:rsid w:val="00E572C4"/>
    <w:rsid w:val="00E5792F"/>
    <w:rsid w:val="00E57C95"/>
    <w:rsid w:val="00E6008C"/>
    <w:rsid w:val="00E6019E"/>
    <w:rsid w:val="00E602E2"/>
    <w:rsid w:val="00E606A7"/>
    <w:rsid w:val="00E6127B"/>
    <w:rsid w:val="00E61571"/>
    <w:rsid w:val="00E61AFF"/>
    <w:rsid w:val="00E61B1E"/>
    <w:rsid w:val="00E61FDF"/>
    <w:rsid w:val="00E6223A"/>
    <w:rsid w:val="00E62338"/>
    <w:rsid w:val="00E63553"/>
    <w:rsid w:val="00E635F4"/>
    <w:rsid w:val="00E63CB5"/>
    <w:rsid w:val="00E63F9A"/>
    <w:rsid w:val="00E64242"/>
    <w:rsid w:val="00E64280"/>
    <w:rsid w:val="00E64389"/>
    <w:rsid w:val="00E645B0"/>
    <w:rsid w:val="00E64612"/>
    <w:rsid w:val="00E64821"/>
    <w:rsid w:val="00E65419"/>
    <w:rsid w:val="00E6569A"/>
    <w:rsid w:val="00E66260"/>
    <w:rsid w:val="00E66455"/>
    <w:rsid w:val="00E669A8"/>
    <w:rsid w:val="00E66A98"/>
    <w:rsid w:val="00E66F56"/>
    <w:rsid w:val="00E670E3"/>
    <w:rsid w:val="00E6716E"/>
    <w:rsid w:val="00E672EC"/>
    <w:rsid w:val="00E678EC"/>
    <w:rsid w:val="00E678F7"/>
    <w:rsid w:val="00E67AA2"/>
    <w:rsid w:val="00E70034"/>
    <w:rsid w:val="00E70299"/>
    <w:rsid w:val="00E702AC"/>
    <w:rsid w:val="00E704DB"/>
    <w:rsid w:val="00E71063"/>
    <w:rsid w:val="00E712C5"/>
    <w:rsid w:val="00E7141F"/>
    <w:rsid w:val="00E72197"/>
    <w:rsid w:val="00E724A4"/>
    <w:rsid w:val="00E72637"/>
    <w:rsid w:val="00E72C2E"/>
    <w:rsid w:val="00E7308D"/>
    <w:rsid w:val="00E736D1"/>
    <w:rsid w:val="00E73A95"/>
    <w:rsid w:val="00E73B1F"/>
    <w:rsid w:val="00E73C7F"/>
    <w:rsid w:val="00E7400B"/>
    <w:rsid w:val="00E744AB"/>
    <w:rsid w:val="00E7453A"/>
    <w:rsid w:val="00E74E63"/>
    <w:rsid w:val="00E74EAE"/>
    <w:rsid w:val="00E753D2"/>
    <w:rsid w:val="00E75580"/>
    <w:rsid w:val="00E75800"/>
    <w:rsid w:val="00E75B79"/>
    <w:rsid w:val="00E75E72"/>
    <w:rsid w:val="00E75EA5"/>
    <w:rsid w:val="00E75F95"/>
    <w:rsid w:val="00E767E5"/>
    <w:rsid w:val="00E76C09"/>
    <w:rsid w:val="00E779B7"/>
    <w:rsid w:val="00E77A64"/>
    <w:rsid w:val="00E77A79"/>
    <w:rsid w:val="00E77BB2"/>
    <w:rsid w:val="00E77CB2"/>
    <w:rsid w:val="00E80382"/>
    <w:rsid w:val="00E80BE1"/>
    <w:rsid w:val="00E80F28"/>
    <w:rsid w:val="00E80F80"/>
    <w:rsid w:val="00E8116C"/>
    <w:rsid w:val="00E811A5"/>
    <w:rsid w:val="00E81BF5"/>
    <w:rsid w:val="00E823D4"/>
    <w:rsid w:val="00E82656"/>
    <w:rsid w:val="00E82660"/>
    <w:rsid w:val="00E826E6"/>
    <w:rsid w:val="00E82ACB"/>
    <w:rsid w:val="00E82ADC"/>
    <w:rsid w:val="00E82AF2"/>
    <w:rsid w:val="00E8318F"/>
    <w:rsid w:val="00E836CD"/>
    <w:rsid w:val="00E846A3"/>
    <w:rsid w:val="00E846F8"/>
    <w:rsid w:val="00E8506D"/>
    <w:rsid w:val="00E854F4"/>
    <w:rsid w:val="00E85BBF"/>
    <w:rsid w:val="00E85F71"/>
    <w:rsid w:val="00E863A8"/>
    <w:rsid w:val="00E868D4"/>
    <w:rsid w:val="00E87208"/>
    <w:rsid w:val="00E8761E"/>
    <w:rsid w:val="00E87655"/>
    <w:rsid w:val="00E877AE"/>
    <w:rsid w:val="00E87DD3"/>
    <w:rsid w:val="00E900C4"/>
    <w:rsid w:val="00E913B5"/>
    <w:rsid w:val="00E91975"/>
    <w:rsid w:val="00E91BC4"/>
    <w:rsid w:val="00E92063"/>
    <w:rsid w:val="00E92762"/>
    <w:rsid w:val="00E92B9C"/>
    <w:rsid w:val="00E92E38"/>
    <w:rsid w:val="00E93A02"/>
    <w:rsid w:val="00E93E6D"/>
    <w:rsid w:val="00E94C6A"/>
    <w:rsid w:val="00E952C7"/>
    <w:rsid w:val="00E9536D"/>
    <w:rsid w:val="00E96044"/>
    <w:rsid w:val="00E96979"/>
    <w:rsid w:val="00E96A34"/>
    <w:rsid w:val="00E97769"/>
    <w:rsid w:val="00E97A27"/>
    <w:rsid w:val="00E97D58"/>
    <w:rsid w:val="00EA031E"/>
    <w:rsid w:val="00EA0479"/>
    <w:rsid w:val="00EA086F"/>
    <w:rsid w:val="00EA0899"/>
    <w:rsid w:val="00EA0B59"/>
    <w:rsid w:val="00EA0E43"/>
    <w:rsid w:val="00EA0F56"/>
    <w:rsid w:val="00EA0FD5"/>
    <w:rsid w:val="00EA1100"/>
    <w:rsid w:val="00EA13BA"/>
    <w:rsid w:val="00EA1662"/>
    <w:rsid w:val="00EA1BC3"/>
    <w:rsid w:val="00EA1F56"/>
    <w:rsid w:val="00EA2618"/>
    <w:rsid w:val="00EA265B"/>
    <w:rsid w:val="00EA2A7A"/>
    <w:rsid w:val="00EA2CAE"/>
    <w:rsid w:val="00EA3134"/>
    <w:rsid w:val="00EA33EB"/>
    <w:rsid w:val="00EA34D1"/>
    <w:rsid w:val="00EA35C7"/>
    <w:rsid w:val="00EA374B"/>
    <w:rsid w:val="00EA37AC"/>
    <w:rsid w:val="00EA3F5B"/>
    <w:rsid w:val="00EA446F"/>
    <w:rsid w:val="00EA48C8"/>
    <w:rsid w:val="00EA4ED8"/>
    <w:rsid w:val="00EA5453"/>
    <w:rsid w:val="00EA566E"/>
    <w:rsid w:val="00EA5801"/>
    <w:rsid w:val="00EA5D79"/>
    <w:rsid w:val="00EA6878"/>
    <w:rsid w:val="00EA6959"/>
    <w:rsid w:val="00EA6C5D"/>
    <w:rsid w:val="00EA6C6E"/>
    <w:rsid w:val="00EA6D15"/>
    <w:rsid w:val="00EA776C"/>
    <w:rsid w:val="00EA7B3F"/>
    <w:rsid w:val="00EA7EA2"/>
    <w:rsid w:val="00EB00B3"/>
    <w:rsid w:val="00EB03E4"/>
    <w:rsid w:val="00EB0990"/>
    <w:rsid w:val="00EB09C9"/>
    <w:rsid w:val="00EB15E0"/>
    <w:rsid w:val="00EB16B2"/>
    <w:rsid w:val="00EB2532"/>
    <w:rsid w:val="00EB2ED8"/>
    <w:rsid w:val="00EB341D"/>
    <w:rsid w:val="00EB3740"/>
    <w:rsid w:val="00EB39B4"/>
    <w:rsid w:val="00EB3DA7"/>
    <w:rsid w:val="00EB3EE7"/>
    <w:rsid w:val="00EB401F"/>
    <w:rsid w:val="00EB46D7"/>
    <w:rsid w:val="00EB50F0"/>
    <w:rsid w:val="00EB5204"/>
    <w:rsid w:val="00EB556F"/>
    <w:rsid w:val="00EB564D"/>
    <w:rsid w:val="00EB58A5"/>
    <w:rsid w:val="00EB5E8A"/>
    <w:rsid w:val="00EB62B8"/>
    <w:rsid w:val="00EB63C9"/>
    <w:rsid w:val="00EB6455"/>
    <w:rsid w:val="00EB6781"/>
    <w:rsid w:val="00EB6D9F"/>
    <w:rsid w:val="00EB74D7"/>
    <w:rsid w:val="00EB78D8"/>
    <w:rsid w:val="00EB79E1"/>
    <w:rsid w:val="00EB7AAE"/>
    <w:rsid w:val="00EB7FCE"/>
    <w:rsid w:val="00EC0050"/>
    <w:rsid w:val="00EC08ED"/>
    <w:rsid w:val="00EC0EC0"/>
    <w:rsid w:val="00EC152C"/>
    <w:rsid w:val="00EC1BCA"/>
    <w:rsid w:val="00EC1DE0"/>
    <w:rsid w:val="00EC20F5"/>
    <w:rsid w:val="00EC2A8C"/>
    <w:rsid w:val="00EC2B98"/>
    <w:rsid w:val="00EC2D64"/>
    <w:rsid w:val="00EC3353"/>
    <w:rsid w:val="00EC377F"/>
    <w:rsid w:val="00EC3BE2"/>
    <w:rsid w:val="00EC42EE"/>
    <w:rsid w:val="00EC483D"/>
    <w:rsid w:val="00EC48D1"/>
    <w:rsid w:val="00EC4F70"/>
    <w:rsid w:val="00EC56BD"/>
    <w:rsid w:val="00EC59A0"/>
    <w:rsid w:val="00EC6165"/>
    <w:rsid w:val="00EC61C9"/>
    <w:rsid w:val="00EC6518"/>
    <w:rsid w:val="00EC66D4"/>
    <w:rsid w:val="00EC696C"/>
    <w:rsid w:val="00EC6A25"/>
    <w:rsid w:val="00EC6C38"/>
    <w:rsid w:val="00EC707B"/>
    <w:rsid w:val="00EC73DF"/>
    <w:rsid w:val="00ED039D"/>
    <w:rsid w:val="00ED0939"/>
    <w:rsid w:val="00ED0C60"/>
    <w:rsid w:val="00ED0F6D"/>
    <w:rsid w:val="00ED1613"/>
    <w:rsid w:val="00ED204B"/>
    <w:rsid w:val="00ED21FE"/>
    <w:rsid w:val="00ED23A2"/>
    <w:rsid w:val="00ED279E"/>
    <w:rsid w:val="00ED2A9C"/>
    <w:rsid w:val="00ED36A7"/>
    <w:rsid w:val="00ED3982"/>
    <w:rsid w:val="00ED40E2"/>
    <w:rsid w:val="00ED44B9"/>
    <w:rsid w:val="00ED5D6B"/>
    <w:rsid w:val="00ED5E5D"/>
    <w:rsid w:val="00ED6F01"/>
    <w:rsid w:val="00ED71F1"/>
    <w:rsid w:val="00ED7CE7"/>
    <w:rsid w:val="00EE02A3"/>
    <w:rsid w:val="00EE0986"/>
    <w:rsid w:val="00EE0B19"/>
    <w:rsid w:val="00EE0F99"/>
    <w:rsid w:val="00EE1031"/>
    <w:rsid w:val="00EE10E0"/>
    <w:rsid w:val="00EE1921"/>
    <w:rsid w:val="00EE2080"/>
    <w:rsid w:val="00EE271C"/>
    <w:rsid w:val="00EE28D7"/>
    <w:rsid w:val="00EE2967"/>
    <w:rsid w:val="00EE2B46"/>
    <w:rsid w:val="00EE38C8"/>
    <w:rsid w:val="00EE3F9E"/>
    <w:rsid w:val="00EE43F3"/>
    <w:rsid w:val="00EE48F5"/>
    <w:rsid w:val="00EE4CEF"/>
    <w:rsid w:val="00EE52DF"/>
    <w:rsid w:val="00EE5E93"/>
    <w:rsid w:val="00EE74F3"/>
    <w:rsid w:val="00EE754C"/>
    <w:rsid w:val="00EF04A8"/>
    <w:rsid w:val="00EF0908"/>
    <w:rsid w:val="00EF0D50"/>
    <w:rsid w:val="00EF1150"/>
    <w:rsid w:val="00EF1519"/>
    <w:rsid w:val="00EF1700"/>
    <w:rsid w:val="00EF1944"/>
    <w:rsid w:val="00EF1CD7"/>
    <w:rsid w:val="00EF2AD4"/>
    <w:rsid w:val="00EF30F5"/>
    <w:rsid w:val="00EF387F"/>
    <w:rsid w:val="00EF3CDA"/>
    <w:rsid w:val="00EF44D2"/>
    <w:rsid w:val="00EF5115"/>
    <w:rsid w:val="00EF516A"/>
    <w:rsid w:val="00EF520C"/>
    <w:rsid w:val="00EF529C"/>
    <w:rsid w:val="00EF5607"/>
    <w:rsid w:val="00EF56A1"/>
    <w:rsid w:val="00EF5849"/>
    <w:rsid w:val="00EF5A18"/>
    <w:rsid w:val="00EF5CE1"/>
    <w:rsid w:val="00EF5FC1"/>
    <w:rsid w:val="00EF6349"/>
    <w:rsid w:val="00EF6511"/>
    <w:rsid w:val="00EF74BC"/>
    <w:rsid w:val="00EF77B2"/>
    <w:rsid w:val="00EF79D0"/>
    <w:rsid w:val="00EF7ADD"/>
    <w:rsid w:val="00EF7C1C"/>
    <w:rsid w:val="00EF7DD6"/>
    <w:rsid w:val="00F00847"/>
    <w:rsid w:val="00F00B41"/>
    <w:rsid w:val="00F00BC5"/>
    <w:rsid w:val="00F00EB9"/>
    <w:rsid w:val="00F01177"/>
    <w:rsid w:val="00F015E4"/>
    <w:rsid w:val="00F01698"/>
    <w:rsid w:val="00F01A45"/>
    <w:rsid w:val="00F01B5B"/>
    <w:rsid w:val="00F02359"/>
    <w:rsid w:val="00F0284F"/>
    <w:rsid w:val="00F0285B"/>
    <w:rsid w:val="00F02A14"/>
    <w:rsid w:val="00F03212"/>
    <w:rsid w:val="00F03487"/>
    <w:rsid w:val="00F03B21"/>
    <w:rsid w:val="00F03D5A"/>
    <w:rsid w:val="00F04DD5"/>
    <w:rsid w:val="00F04E67"/>
    <w:rsid w:val="00F04F2F"/>
    <w:rsid w:val="00F050D9"/>
    <w:rsid w:val="00F058A4"/>
    <w:rsid w:val="00F058D6"/>
    <w:rsid w:val="00F065FD"/>
    <w:rsid w:val="00F06B59"/>
    <w:rsid w:val="00F06CC2"/>
    <w:rsid w:val="00F07271"/>
    <w:rsid w:val="00F07324"/>
    <w:rsid w:val="00F078D4"/>
    <w:rsid w:val="00F07B76"/>
    <w:rsid w:val="00F07DEF"/>
    <w:rsid w:val="00F10A52"/>
    <w:rsid w:val="00F11587"/>
    <w:rsid w:val="00F11909"/>
    <w:rsid w:val="00F11A28"/>
    <w:rsid w:val="00F11FAB"/>
    <w:rsid w:val="00F120A9"/>
    <w:rsid w:val="00F12291"/>
    <w:rsid w:val="00F129B5"/>
    <w:rsid w:val="00F138AD"/>
    <w:rsid w:val="00F13EB6"/>
    <w:rsid w:val="00F148A4"/>
    <w:rsid w:val="00F153ED"/>
    <w:rsid w:val="00F1560E"/>
    <w:rsid w:val="00F1579F"/>
    <w:rsid w:val="00F158F8"/>
    <w:rsid w:val="00F15F18"/>
    <w:rsid w:val="00F164B3"/>
    <w:rsid w:val="00F16D67"/>
    <w:rsid w:val="00F16F6B"/>
    <w:rsid w:val="00F16F9D"/>
    <w:rsid w:val="00F17580"/>
    <w:rsid w:val="00F17897"/>
    <w:rsid w:val="00F17A04"/>
    <w:rsid w:val="00F17BDF"/>
    <w:rsid w:val="00F20224"/>
    <w:rsid w:val="00F20273"/>
    <w:rsid w:val="00F20B35"/>
    <w:rsid w:val="00F21081"/>
    <w:rsid w:val="00F21388"/>
    <w:rsid w:val="00F2140B"/>
    <w:rsid w:val="00F21509"/>
    <w:rsid w:val="00F21581"/>
    <w:rsid w:val="00F2197B"/>
    <w:rsid w:val="00F219EB"/>
    <w:rsid w:val="00F225A3"/>
    <w:rsid w:val="00F225ED"/>
    <w:rsid w:val="00F225F6"/>
    <w:rsid w:val="00F22898"/>
    <w:rsid w:val="00F22D7E"/>
    <w:rsid w:val="00F22F28"/>
    <w:rsid w:val="00F236A1"/>
    <w:rsid w:val="00F236A2"/>
    <w:rsid w:val="00F23B0C"/>
    <w:rsid w:val="00F24137"/>
    <w:rsid w:val="00F24215"/>
    <w:rsid w:val="00F2424F"/>
    <w:rsid w:val="00F24437"/>
    <w:rsid w:val="00F2485E"/>
    <w:rsid w:val="00F24A31"/>
    <w:rsid w:val="00F2544C"/>
    <w:rsid w:val="00F263BC"/>
    <w:rsid w:val="00F2687F"/>
    <w:rsid w:val="00F26D05"/>
    <w:rsid w:val="00F27308"/>
    <w:rsid w:val="00F273B9"/>
    <w:rsid w:val="00F27603"/>
    <w:rsid w:val="00F27A71"/>
    <w:rsid w:val="00F3006C"/>
    <w:rsid w:val="00F3099A"/>
    <w:rsid w:val="00F30DFD"/>
    <w:rsid w:val="00F31104"/>
    <w:rsid w:val="00F31E50"/>
    <w:rsid w:val="00F32C3B"/>
    <w:rsid w:val="00F32EE3"/>
    <w:rsid w:val="00F3371E"/>
    <w:rsid w:val="00F3382E"/>
    <w:rsid w:val="00F33A2E"/>
    <w:rsid w:val="00F33DF9"/>
    <w:rsid w:val="00F33EE6"/>
    <w:rsid w:val="00F3410F"/>
    <w:rsid w:val="00F345B0"/>
    <w:rsid w:val="00F34863"/>
    <w:rsid w:val="00F34A2A"/>
    <w:rsid w:val="00F34A58"/>
    <w:rsid w:val="00F34BBC"/>
    <w:rsid w:val="00F34F20"/>
    <w:rsid w:val="00F35956"/>
    <w:rsid w:val="00F359A9"/>
    <w:rsid w:val="00F35AFA"/>
    <w:rsid w:val="00F35C6D"/>
    <w:rsid w:val="00F36AEB"/>
    <w:rsid w:val="00F36E38"/>
    <w:rsid w:val="00F37230"/>
    <w:rsid w:val="00F37A66"/>
    <w:rsid w:val="00F37FC1"/>
    <w:rsid w:val="00F405F8"/>
    <w:rsid w:val="00F40600"/>
    <w:rsid w:val="00F4077C"/>
    <w:rsid w:val="00F40DB6"/>
    <w:rsid w:val="00F41194"/>
    <w:rsid w:val="00F4141C"/>
    <w:rsid w:val="00F417AA"/>
    <w:rsid w:val="00F41AB8"/>
    <w:rsid w:val="00F42408"/>
    <w:rsid w:val="00F42B6B"/>
    <w:rsid w:val="00F42DC5"/>
    <w:rsid w:val="00F42E10"/>
    <w:rsid w:val="00F4362D"/>
    <w:rsid w:val="00F43E46"/>
    <w:rsid w:val="00F4416B"/>
    <w:rsid w:val="00F44CC6"/>
    <w:rsid w:val="00F44D24"/>
    <w:rsid w:val="00F453D5"/>
    <w:rsid w:val="00F458C7"/>
    <w:rsid w:val="00F45A2D"/>
    <w:rsid w:val="00F4628D"/>
    <w:rsid w:val="00F46BC6"/>
    <w:rsid w:val="00F46ECF"/>
    <w:rsid w:val="00F474A5"/>
    <w:rsid w:val="00F50837"/>
    <w:rsid w:val="00F50C8A"/>
    <w:rsid w:val="00F510E7"/>
    <w:rsid w:val="00F52218"/>
    <w:rsid w:val="00F52436"/>
    <w:rsid w:val="00F52527"/>
    <w:rsid w:val="00F5270F"/>
    <w:rsid w:val="00F5296B"/>
    <w:rsid w:val="00F52DFB"/>
    <w:rsid w:val="00F535E9"/>
    <w:rsid w:val="00F53978"/>
    <w:rsid w:val="00F53D8A"/>
    <w:rsid w:val="00F545BA"/>
    <w:rsid w:val="00F5468C"/>
    <w:rsid w:val="00F54DEE"/>
    <w:rsid w:val="00F54E29"/>
    <w:rsid w:val="00F5532E"/>
    <w:rsid w:val="00F556E7"/>
    <w:rsid w:val="00F55BC5"/>
    <w:rsid w:val="00F55D61"/>
    <w:rsid w:val="00F55ECA"/>
    <w:rsid w:val="00F56296"/>
    <w:rsid w:val="00F56A15"/>
    <w:rsid w:val="00F56B8E"/>
    <w:rsid w:val="00F56CA0"/>
    <w:rsid w:val="00F56F10"/>
    <w:rsid w:val="00F56F90"/>
    <w:rsid w:val="00F57220"/>
    <w:rsid w:val="00F57DAF"/>
    <w:rsid w:val="00F608C2"/>
    <w:rsid w:val="00F60E5F"/>
    <w:rsid w:val="00F611CD"/>
    <w:rsid w:val="00F6221B"/>
    <w:rsid w:val="00F62522"/>
    <w:rsid w:val="00F6275C"/>
    <w:rsid w:val="00F629D9"/>
    <w:rsid w:val="00F62BA2"/>
    <w:rsid w:val="00F6363F"/>
    <w:rsid w:val="00F6380B"/>
    <w:rsid w:val="00F63822"/>
    <w:rsid w:val="00F638D4"/>
    <w:rsid w:val="00F63D70"/>
    <w:rsid w:val="00F63F77"/>
    <w:rsid w:val="00F65041"/>
    <w:rsid w:val="00F65163"/>
    <w:rsid w:val="00F651B3"/>
    <w:rsid w:val="00F653E1"/>
    <w:rsid w:val="00F655AB"/>
    <w:rsid w:val="00F65653"/>
    <w:rsid w:val="00F65C60"/>
    <w:rsid w:val="00F65FA9"/>
    <w:rsid w:val="00F65FD3"/>
    <w:rsid w:val="00F667F1"/>
    <w:rsid w:val="00F66941"/>
    <w:rsid w:val="00F669B4"/>
    <w:rsid w:val="00F66B11"/>
    <w:rsid w:val="00F66C07"/>
    <w:rsid w:val="00F66C26"/>
    <w:rsid w:val="00F674B9"/>
    <w:rsid w:val="00F67E17"/>
    <w:rsid w:val="00F70148"/>
    <w:rsid w:val="00F70921"/>
    <w:rsid w:val="00F70A0E"/>
    <w:rsid w:val="00F70EA0"/>
    <w:rsid w:val="00F712AD"/>
    <w:rsid w:val="00F713CF"/>
    <w:rsid w:val="00F718DB"/>
    <w:rsid w:val="00F71EA8"/>
    <w:rsid w:val="00F71FB6"/>
    <w:rsid w:val="00F72238"/>
    <w:rsid w:val="00F723BF"/>
    <w:rsid w:val="00F7278A"/>
    <w:rsid w:val="00F72830"/>
    <w:rsid w:val="00F729D4"/>
    <w:rsid w:val="00F72A2B"/>
    <w:rsid w:val="00F731B5"/>
    <w:rsid w:val="00F73B01"/>
    <w:rsid w:val="00F73F95"/>
    <w:rsid w:val="00F73FAF"/>
    <w:rsid w:val="00F7416C"/>
    <w:rsid w:val="00F74BA4"/>
    <w:rsid w:val="00F75067"/>
    <w:rsid w:val="00F751C2"/>
    <w:rsid w:val="00F75211"/>
    <w:rsid w:val="00F7545E"/>
    <w:rsid w:val="00F75551"/>
    <w:rsid w:val="00F7561A"/>
    <w:rsid w:val="00F7610B"/>
    <w:rsid w:val="00F76322"/>
    <w:rsid w:val="00F764F8"/>
    <w:rsid w:val="00F76669"/>
    <w:rsid w:val="00F76E70"/>
    <w:rsid w:val="00F76F31"/>
    <w:rsid w:val="00F77290"/>
    <w:rsid w:val="00F800D4"/>
    <w:rsid w:val="00F8047F"/>
    <w:rsid w:val="00F807D9"/>
    <w:rsid w:val="00F80A54"/>
    <w:rsid w:val="00F80C82"/>
    <w:rsid w:val="00F80D47"/>
    <w:rsid w:val="00F80E6D"/>
    <w:rsid w:val="00F8139C"/>
    <w:rsid w:val="00F819F8"/>
    <w:rsid w:val="00F81A12"/>
    <w:rsid w:val="00F81C97"/>
    <w:rsid w:val="00F81DDF"/>
    <w:rsid w:val="00F82943"/>
    <w:rsid w:val="00F8352F"/>
    <w:rsid w:val="00F8374C"/>
    <w:rsid w:val="00F83B3E"/>
    <w:rsid w:val="00F83CB5"/>
    <w:rsid w:val="00F83F22"/>
    <w:rsid w:val="00F840BB"/>
    <w:rsid w:val="00F842AB"/>
    <w:rsid w:val="00F84CBD"/>
    <w:rsid w:val="00F85A0C"/>
    <w:rsid w:val="00F861E4"/>
    <w:rsid w:val="00F86220"/>
    <w:rsid w:val="00F864E2"/>
    <w:rsid w:val="00F8688F"/>
    <w:rsid w:val="00F86DDB"/>
    <w:rsid w:val="00F86F45"/>
    <w:rsid w:val="00F8714D"/>
    <w:rsid w:val="00F87354"/>
    <w:rsid w:val="00F877EF"/>
    <w:rsid w:val="00F877F6"/>
    <w:rsid w:val="00F90090"/>
    <w:rsid w:val="00F90792"/>
    <w:rsid w:val="00F908A9"/>
    <w:rsid w:val="00F90E2D"/>
    <w:rsid w:val="00F9152F"/>
    <w:rsid w:val="00F915E9"/>
    <w:rsid w:val="00F91671"/>
    <w:rsid w:val="00F928E5"/>
    <w:rsid w:val="00F92E27"/>
    <w:rsid w:val="00F933B1"/>
    <w:rsid w:val="00F939D7"/>
    <w:rsid w:val="00F93A1F"/>
    <w:rsid w:val="00F93D74"/>
    <w:rsid w:val="00F94078"/>
    <w:rsid w:val="00F94586"/>
    <w:rsid w:val="00F94F2F"/>
    <w:rsid w:val="00F95229"/>
    <w:rsid w:val="00F95946"/>
    <w:rsid w:val="00F966C5"/>
    <w:rsid w:val="00F973BC"/>
    <w:rsid w:val="00F9746F"/>
    <w:rsid w:val="00F97677"/>
    <w:rsid w:val="00F977DA"/>
    <w:rsid w:val="00F97928"/>
    <w:rsid w:val="00F97C14"/>
    <w:rsid w:val="00FA041E"/>
    <w:rsid w:val="00FA0735"/>
    <w:rsid w:val="00FA09E8"/>
    <w:rsid w:val="00FA0A08"/>
    <w:rsid w:val="00FA0C47"/>
    <w:rsid w:val="00FA0F2D"/>
    <w:rsid w:val="00FA17E4"/>
    <w:rsid w:val="00FA1AA5"/>
    <w:rsid w:val="00FA1B04"/>
    <w:rsid w:val="00FA24FF"/>
    <w:rsid w:val="00FA25F7"/>
    <w:rsid w:val="00FA2A79"/>
    <w:rsid w:val="00FA2EBC"/>
    <w:rsid w:val="00FA301D"/>
    <w:rsid w:val="00FA34D4"/>
    <w:rsid w:val="00FA3597"/>
    <w:rsid w:val="00FA41E3"/>
    <w:rsid w:val="00FA4254"/>
    <w:rsid w:val="00FA4C05"/>
    <w:rsid w:val="00FA4EF7"/>
    <w:rsid w:val="00FA5315"/>
    <w:rsid w:val="00FA5A34"/>
    <w:rsid w:val="00FA5BE8"/>
    <w:rsid w:val="00FA6026"/>
    <w:rsid w:val="00FA61F6"/>
    <w:rsid w:val="00FA6423"/>
    <w:rsid w:val="00FA66A4"/>
    <w:rsid w:val="00FA675E"/>
    <w:rsid w:val="00FA6976"/>
    <w:rsid w:val="00FA6C56"/>
    <w:rsid w:val="00FA7128"/>
    <w:rsid w:val="00FA7268"/>
    <w:rsid w:val="00FA7389"/>
    <w:rsid w:val="00FA7929"/>
    <w:rsid w:val="00FA7AEC"/>
    <w:rsid w:val="00FA7D9C"/>
    <w:rsid w:val="00FA7E57"/>
    <w:rsid w:val="00FA7EEB"/>
    <w:rsid w:val="00FB069A"/>
    <w:rsid w:val="00FB0804"/>
    <w:rsid w:val="00FB09D6"/>
    <w:rsid w:val="00FB0C9C"/>
    <w:rsid w:val="00FB1266"/>
    <w:rsid w:val="00FB1736"/>
    <w:rsid w:val="00FB1DA1"/>
    <w:rsid w:val="00FB1DB9"/>
    <w:rsid w:val="00FB2271"/>
    <w:rsid w:val="00FB2BD6"/>
    <w:rsid w:val="00FB2CCC"/>
    <w:rsid w:val="00FB2E05"/>
    <w:rsid w:val="00FB2E26"/>
    <w:rsid w:val="00FB33E8"/>
    <w:rsid w:val="00FB35CD"/>
    <w:rsid w:val="00FB3AA2"/>
    <w:rsid w:val="00FB3E3E"/>
    <w:rsid w:val="00FB4C3F"/>
    <w:rsid w:val="00FB5486"/>
    <w:rsid w:val="00FB5489"/>
    <w:rsid w:val="00FB563E"/>
    <w:rsid w:val="00FB632F"/>
    <w:rsid w:val="00FB68A7"/>
    <w:rsid w:val="00FB6C61"/>
    <w:rsid w:val="00FB71FB"/>
    <w:rsid w:val="00FB7BB8"/>
    <w:rsid w:val="00FB7FD4"/>
    <w:rsid w:val="00FC0584"/>
    <w:rsid w:val="00FC0605"/>
    <w:rsid w:val="00FC0740"/>
    <w:rsid w:val="00FC1028"/>
    <w:rsid w:val="00FC1466"/>
    <w:rsid w:val="00FC1A82"/>
    <w:rsid w:val="00FC1D1F"/>
    <w:rsid w:val="00FC2222"/>
    <w:rsid w:val="00FC2A96"/>
    <w:rsid w:val="00FC2D03"/>
    <w:rsid w:val="00FC2EA8"/>
    <w:rsid w:val="00FC2F94"/>
    <w:rsid w:val="00FC3031"/>
    <w:rsid w:val="00FC3786"/>
    <w:rsid w:val="00FC3EA0"/>
    <w:rsid w:val="00FC3FF1"/>
    <w:rsid w:val="00FC41F6"/>
    <w:rsid w:val="00FC4688"/>
    <w:rsid w:val="00FC4E7D"/>
    <w:rsid w:val="00FC5031"/>
    <w:rsid w:val="00FC5691"/>
    <w:rsid w:val="00FC56A7"/>
    <w:rsid w:val="00FC58F2"/>
    <w:rsid w:val="00FC5BF8"/>
    <w:rsid w:val="00FC61AD"/>
    <w:rsid w:val="00FC61DE"/>
    <w:rsid w:val="00FC6823"/>
    <w:rsid w:val="00FC707F"/>
    <w:rsid w:val="00FC7686"/>
    <w:rsid w:val="00FC76DA"/>
    <w:rsid w:val="00FC79F7"/>
    <w:rsid w:val="00FC7C09"/>
    <w:rsid w:val="00FD056F"/>
    <w:rsid w:val="00FD05D9"/>
    <w:rsid w:val="00FD07D3"/>
    <w:rsid w:val="00FD0AA4"/>
    <w:rsid w:val="00FD0BBB"/>
    <w:rsid w:val="00FD0CEE"/>
    <w:rsid w:val="00FD121D"/>
    <w:rsid w:val="00FD1506"/>
    <w:rsid w:val="00FD163F"/>
    <w:rsid w:val="00FD180C"/>
    <w:rsid w:val="00FD1DAE"/>
    <w:rsid w:val="00FD2278"/>
    <w:rsid w:val="00FD24D0"/>
    <w:rsid w:val="00FD27E6"/>
    <w:rsid w:val="00FD2F00"/>
    <w:rsid w:val="00FD2FF2"/>
    <w:rsid w:val="00FD3179"/>
    <w:rsid w:val="00FD35DF"/>
    <w:rsid w:val="00FD42FD"/>
    <w:rsid w:val="00FD49BE"/>
    <w:rsid w:val="00FD51B7"/>
    <w:rsid w:val="00FD5AF6"/>
    <w:rsid w:val="00FD5E72"/>
    <w:rsid w:val="00FD65BA"/>
    <w:rsid w:val="00FD68CD"/>
    <w:rsid w:val="00FD6BC0"/>
    <w:rsid w:val="00FD6D59"/>
    <w:rsid w:val="00FD7002"/>
    <w:rsid w:val="00FD7710"/>
    <w:rsid w:val="00FD7C3D"/>
    <w:rsid w:val="00FE0643"/>
    <w:rsid w:val="00FE0C4F"/>
    <w:rsid w:val="00FE197B"/>
    <w:rsid w:val="00FE1A47"/>
    <w:rsid w:val="00FE1B24"/>
    <w:rsid w:val="00FE2E9A"/>
    <w:rsid w:val="00FE3171"/>
    <w:rsid w:val="00FE34E4"/>
    <w:rsid w:val="00FE3BAD"/>
    <w:rsid w:val="00FE3E59"/>
    <w:rsid w:val="00FE4081"/>
    <w:rsid w:val="00FE4372"/>
    <w:rsid w:val="00FE4BB6"/>
    <w:rsid w:val="00FE4D0B"/>
    <w:rsid w:val="00FE4DBA"/>
    <w:rsid w:val="00FE4F9B"/>
    <w:rsid w:val="00FE5345"/>
    <w:rsid w:val="00FE553F"/>
    <w:rsid w:val="00FE5AE8"/>
    <w:rsid w:val="00FE5E9F"/>
    <w:rsid w:val="00FE5F9F"/>
    <w:rsid w:val="00FE7090"/>
    <w:rsid w:val="00FE7273"/>
    <w:rsid w:val="00FE7391"/>
    <w:rsid w:val="00FE7DB8"/>
    <w:rsid w:val="00FF0208"/>
    <w:rsid w:val="00FF04B9"/>
    <w:rsid w:val="00FF09A2"/>
    <w:rsid w:val="00FF0BD5"/>
    <w:rsid w:val="00FF160F"/>
    <w:rsid w:val="00FF24DE"/>
    <w:rsid w:val="00FF2B8E"/>
    <w:rsid w:val="00FF3506"/>
    <w:rsid w:val="00FF37E1"/>
    <w:rsid w:val="00FF39C1"/>
    <w:rsid w:val="00FF3E42"/>
    <w:rsid w:val="00FF4DB4"/>
    <w:rsid w:val="00FF503F"/>
    <w:rsid w:val="00FF5104"/>
    <w:rsid w:val="00FF596C"/>
    <w:rsid w:val="00FF5A1A"/>
    <w:rsid w:val="00FF5BBD"/>
    <w:rsid w:val="00FF5C98"/>
    <w:rsid w:val="00FF5F73"/>
    <w:rsid w:val="00FF624B"/>
    <w:rsid w:val="00FF69CA"/>
    <w:rsid w:val="00FF6B98"/>
    <w:rsid w:val="00FF7623"/>
    <w:rsid w:val="00FF76F8"/>
    <w:rsid w:val="00FF7B30"/>
    <w:rsid w:val="00FF7FCA"/>
  </w:rsids>
  <m:mathPr>
    <m:mathFont m:val="Cambria Math"/>
    <m:brkBin m:val="before"/>
    <m:brkBinSub m:val="--"/>
    <m:smallFrac m:val="0"/>
    <m:dispDef/>
    <m:lMargin m:val="0"/>
    <m:rMargin m:val="0"/>
    <m:defJc m:val="centerGroup"/>
    <m:wrapIndent m:val="1440"/>
    <m:intLim m:val="subSup"/>
    <m:naryLim m:val="undOvr"/>
  </m:mathPr>
  <w:themeFontLang w:val="es-G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2691EF"/>
  <w15:docId w15:val="{3D98A53F-5F61-4B62-A335-99F32B032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560"/>
    <w:pPr>
      <w:spacing w:after="0" w:line="240" w:lineRule="auto"/>
      <w:jc w:val="both"/>
    </w:pPr>
    <w:rPr>
      <w:rFonts w:ascii="Times New Roman" w:eastAsiaTheme="minorEastAsia" w:hAnsi="Times New Roman"/>
      <w:szCs w:val="24"/>
      <w:lang w:eastAsia="es-ES"/>
    </w:rPr>
  </w:style>
  <w:style w:type="paragraph" w:styleId="Ttulo1">
    <w:name w:val="heading 1"/>
    <w:basedOn w:val="Normal"/>
    <w:next w:val="Normal"/>
    <w:link w:val="Ttulo1Car"/>
    <w:uiPriority w:val="9"/>
    <w:qFormat/>
    <w:rsid w:val="003258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64BA9"/>
    <w:pPr>
      <w:keepNext/>
      <w:keepLines/>
      <w:spacing w:before="120" w:after="12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C0470"/>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064BA9"/>
    <w:rPr>
      <w:rFonts w:asciiTheme="majorHAnsi" w:eastAsiaTheme="majorEastAsia" w:hAnsiTheme="majorHAnsi" w:cstheme="majorBidi"/>
      <w:b/>
      <w:bCs/>
      <w:color w:val="4F81BD" w:themeColor="accent1"/>
      <w:sz w:val="26"/>
      <w:szCs w:val="26"/>
      <w:lang w:val="es-ES_tradnl" w:eastAsia="es-ES"/>
    </w:rPr>
  </w:style>
  <w:style w:type="paragraph" w:styleId="Prrafodelista">
    <w:name w:val="List Paragraph"/>
    <w:basedOn w:val="Normal"/>
    <w:uiPriority w:val="34"/>
    <w:qFormat/>
    <w:rsid w:val="00E97769"/>
    <w:pPr>
      <w:ind w:left="720"/>
      <w:contextualSpacing/>
    </w:pPr>
    <w:rPr>
      <w:rFonts w:eastAsiaTheme="minorHAnsi"/>
      <w:sz w:val="16"/>
      <w:szCs w:val="22"/>
      <w:lang w:eastAsia="en-US"/>
    </w:rPr>
  </w:style>
  <w:style w:type="paragraph" w:customStyle="1" w:styleId="Default">
    <w:name w:val="Default"/>
    <w:rsid w:val="00D43598"/>
    <w:pPr>
      <w:autoSpaceDE w:val="0"/>
      <w:autoSpaceDN w:val="0"/>
      <w:adjustRightInd w:val="0"/>
      <w:spacing w:after="0" w:line="240" w:lineRule="auto"/>
    </w:pPr>
    <w:rPr>
      <w:rFonts w:ascii="Times New Roman" w:hAnsi="Times New Roman" w:cs="Times New Roman"/>
      <w:color w:val="000000"/>
      <w:sz w:val="24"/>
      <w:szCs w:val="24"/>
    </w:rPr>
  </w:style>
  <w:style w:type="table" w:styleId="Tablaconcuadrcula">
    <w:name w:val="Table Grid"/>
    <w:basedOn w:val="Tablanormal"/>
    <w:uiPriority w:val="59"/>
    <w:rsid w:val="00D43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D68CD"/>
    <w:pPr>
      <w:spacing w:before="100" w:beforeAutospacing="1" w:after="100" w:afterAutospacing="1"/>
    </w:pPr>
    <w:rPr>
      <w:rFonts w:cs="Times New Roman"/>
      <w:lang w:eastAsia="es-GT"/>
    </w:rPr>
  </w:style>
  <w:style w:type="paragraph" w:styleId="Textonotapie">
    <w:name w:val="footnote text"/>
    <w:basedOn w:val="Normal"/>
    <w:link w:val="TextonotapieCar"/>
    <w:uiPriority w:val="99"/>
    <w:semiHidden/>
    <w:unhideWhenUsed/>
    <w:rsid w:val="000B5E1C"/>
    <w:rPr>
      <w:rFonts w:eastAsiaTheme="minorHAnsi"/>
      <w:sz w:val="20"/>
      <w:szCs w:val="20"/>
      <w:lang w:eastAsia="en-US"/>
    </w:rPr>
  </w:style>
  <w:style w:type="character" w:customStyle="1" w:styleId="TextonotapieCar">
    <w:name w:val="Texto nota pie Car"/>
    <w:basedOn w:val="Fuentedeprrafopredeter"/>
    <w:link w:val="Textonotapie"/>
    <w:uiPriority w:val="99"/>
    <w:semiHidden/>
    <w:rsid w:val="000B5E1C"/>
    <w:rPr>
      <w:sz w:val="20"/>
      <w:szCs w:val="20"/>
    </w:rPr>
  </w:style>
  <w:style w:type="character" w:styleId="Refdenotaalpie">
    <w:name w:val="footnote reference"/>
    <w:basedOn w:val="Fuentedeprrafopredeter"/>
    <w:uiPriority w:val="99"/>
    <w:semiHidden/>
    <w:unhideWhenUsed/>
    <w:rsid w:val="000B5E1C"/>
    <w:rPr>
      <w:vertAlign w:val="superscript"/>
    </w:rPr>
  </w:style>
  <w:style w:type="table" w:styleId="Cuadrculaclara-nfasis1">
    <w:name w:val="Light Grid Accent 1"/>
    <w:basedOn w:val="Tablanormal"/>
    <w:uiPriority w:val="62"/>
    <w:rsid w:val="000B5E1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nfasis5">
    <w:name w:val="Light Shading Accent 5"/>
    <w:basedOn w:val="Tablanormal"/>
    <w:uiPriority w:val="60"/>
    <w:rsid w:val="000B5E1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inespaciado">
    <w:name w:val="No Spacing"/>
    <w:link w:val="SinespaciadoCar"/>
    <w:uiPriority w:val="1"/>
    <w:qFormat/>
    <w:rsid w:val="000B5E1C"/>
    <w:pPr>
      <w:spacing w:after="0" w:line="240" w:lineRule="auto"/>
    </w:pPr>
  </w:style>
  <w:style w:type="character" w:customStyle="1" w:styleId="SinespaciadoCar">
    <w:name w:val="Sin espaciado Car"/>
    <w:basedOn w:val="Fuentedeprrafopredeter"/>
    <w:link w:val="Sinespaciado"/>
    <w:uiPriority w:val="1"/>
    <w:locked/>
    <w:rsid w:val="000B5E1C"/>
  </w:style>
  <w:style w:type="paragraph" w:styleId="Ttulo">
    <w:name w:val="Title"/>
    <w:basedOn w:val="Normal"/>
    <w:next w:val="Normal"/>
    <w:link w:val="TtuloCar"/>
    <w:uiPriority w:val="10"/>
    <w:qFormat/>
    <w:rsid w:val="0032588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s-GT"/>
    </w:rPr>
  </w:style>
  <w:style w:type="character" w:customStyle="1" w:styleId="TtuloCar">
    <w:name w:val="Título Car"/>
    <w:basedOn w:val="Fuentedeprrafopredeter"/>
    <w:link w:val="Ttulo"/>
    <w:uiPriority w:val="10"/>
    <w:rsid w:val="0032588B"/>
    <w:rPr>
      <w:rFonts w:asciiTheme="majorHAnsi" w:eastAsiaTheme="majorEastAsia" w:hAnsiTheme="majorHAnsi" w:cstheme="majorBidi"/>
      <w:color w:val="17365D" w:themeColor="text2" w:themeShade="BF"/>
      <w:spacing w:val="5"/>
      <w:kern w:val="28"/>
      <w:sz w:val="52"/>
      <w:szCs w:val="52"/>
      <w:lang w:eastAsia="es-GT"/>
    </w:rPr>
  </w:style>
  <w:style w:type="paragraph" w:styleId="Subttulo">
    <w:name w:val="Subtitle"/>
    <w:basedOn w:val="Normal"/>
    <w:next w:val="Normal"/>
    <w:link w:val="SubttuloCar"/>
    <w:uiPriority w:val="11"/>
    <w:qFormat/>
    <w:rsid w:val="0032588B"/>
    <w:pPr>
      <w:numPr>
        <w:ilvl w:val="1"/>
      </w:numPr>
      <w:spacing w:after="200" w:line="276" w:lineRule="auto"/>
    </w:pPr>
    <w:rPr>
      <w:rFonts w:asciiTheme="majorHAnsi" w:eastAsiaTheme="majorEastAsia" w:hAnsiTheme="majorHAnsi" w:cstheme="majorBidi"/>
      <w:i/>
      <w:iCs/>
      <w:color w:val="4F81BD" w:themeColor="accent1"/>
      <w:spacing w:val="15"/>
      <w:lang w:eastAsia="es-GT"/>
    </w:rPr>
  </w:style>
  <w:style w:type="character" w:customStyle="1" w:styleId="SubttuloCar">
    <w:name w:val="Subtítulo Car"/>
    <w:basedOn w:val="Fuentedeprrafopredeter"/>
    <w:link w:val="Subttulo"/>
    <w:uiPriority w:val="11"/>
    <w:rsid w:val="0032588B"/>
    <w:rPr>
      <w:rFonts w:asciiTheme="majorHAnsi" w:eastAsiaTheme="majorEastAsia" w:hAnsiTheme="majorHAnsi" w:cstheme="majorBidi"/>
      <w:i/>
      <w:iCs/>
      <w:color w:val="4F81BD" w:themeColor="accent1"/>
      <w:spacing w:val="15"/>
      <w:sz w:val="24"/>
      <w:szCs w:val="24"/>
      <w:lang w:eastAsia="es-GT"/>
    </w:rPr>
  </w:style>
  <w:style w:type="character" w:customStyle="1" w:styleId="Ttulo1Car">
    <w:name w:val="Título 1 Car"/>
    <w:basedOn w:val="Fuentedeprrafopredeter"/>
    <w:link w:val="Ttulo1"/>
    <w:uiPriority w:val="9"/>
    <w:rsid w:val="0032588B"/>
    <w:rPr>
      <w:rFonts w:asciiTheme="majorHAnsi" w:eastAsiaTheme="majorEastAsia" w:hAnsiTheme="majorHAnsi" w:cstheme="majorBidi"/>
      <w:b/>
      <w:bCs/>
      <w:color w:val="365F91" w:themeColor="accent1" w:themeShade="BF"/>
      <w:sz w:val="28"/>
      <w:szCs w:val="28"/>
      <w:lang w:val="es-ES_tradnl" w:eastAsia="es-ES"/>
    </w:rPr>
  </w:style>
  <w:style w:type="paragraph" w:styleId="TtuloTDC">
    <w:name w:val="TOC Heading"/>
    <w:basedOn w:val="Ttulo1"/>
    <w:next w:val="Normal"/>
    <w:uiPriority w:val="39"/>
    <w:semiHidden/>
    <w:unhideWhenUsed/>
    <w:qFormat/>
    <w:rsid w:val="0032588B"/>
    <w:pPr>
      <w:spacing w:line="276" w:lineRule="auto"/>
      <w:outlineLvl w:val="9"/>
    </w:pPr>
    <w:rPr>
      <w:lang w:eastAsia="es-GT"/>
    </w:rPr>
  </w:style>
  <w:style w:type="paragraph" w:styleId="TDC1">
    <w:name w:val="toc 1"/>
    <w:basedOn w:val="Normal"/>
    <w:next w:val="Normal"/>
    <w:autoRedefine/>
    <w:uiPriority w:val="39"/>
    <w:unhideWhenUsed/>
    <w:rsid w:val="00594050"/>
    <w:pPr>
      <w:tabs>
        <w:tab w:val="left" w:pos="440"/>
        <w:tab w:val="right" w:leader="dot" w:pos="9394"/>
      </w:tabs>
      <w:spacing w:after="100"/>
    </w:pPr>
    <w:rPr>
      <w:rFonts w:eastAsiaTheme="majorEastAsia" w:cs="Times New Roman"/>
      <w:b/>
      <w:bCs/>
      <w:noProof/>
    </w:rPr>
  </w:style>
  <w:style w:type="paragraph" w:styleId="TDC2">
    <w:name w:val="toc 2"/>
    <w:basedOn w:val="Normal"/>
    <w:next w:val="Normal"/>
    <w:autoRedefine/>
    <w:uiPriority w:val="39"/>
    <w:unhideWhenUsed/>
    <w:rsid w:val="0054409D"/>
    <w:pPr>
      <w:tabs>
        <w:tab w:val="left" w:pos="880"/>
        <w:tab w:val="right" w:leader="dot" w:pos="9356"/>
      </w:tabs>
      <w:spacing w:after="100"/>
      <w:ind w:left="709" w:hanging="567"/>
    </w:pPr>
  </w:style>
  <w:style w:type="character" w:styleId="Hipervnculo">
    <w:name w:val="Hyperlink"/>
    <w:basedOn w:val="Fuentedeprrafopredeter"/>
    <w:uiPriority w:val="99"/>
    <w:unhideWhenUsed/>
    <w:rsid w:val="0032588B"/>
    <w:rPr>
      <w:color w:val="0000FF" w:themeColor="hyperlink"/>
      <w:u w:val="single"/>
    </w:rPr>
  </w:style>
  <w:style w:type="paragraph" w:styleId="Encabezado">
    <w:name w:val="header"/>
    <w:basedOn w:val="Normal"/>
    <w:link w:val="EncabezadoCar"/>
    <w:uiPriority w:val="99"/>
    <w:unhideWhenUsed/>
    <w:rsid w:val="00AC45C7"/>
    <w:pPr>
      <w:tabs>
        <w:tab w:val="center" w:pos="4419"/>
        <w:tab w:val="right" w:pos="8838"/>
      </w:tabs>
    </w:pPr>
  </w:style>
  <w:style w:type="character" w:customStyle="1" w:styleId="EncabezadoCar">
    <w:name w:val="Encabezado Car"/>
    <w:basedOn w:val="Fuentedeprrafopredeter"/>
    <w:link w:val="Encabezado"/>
    <w:uiPriority w:val="99"/>
    <w:rsid w:val="00AC45C7"/>
    <w:rPr>
      <w:rFonts w:eastAsiaTheme="minorEastAsia"/>
      <w:sz w:val="24"/>
      <w:szCs w:val="24"/>
      <w:lang w:val="es-ES_tradnl" w:eastAsia="es-ES"/>
    </w:rPr>
  </w:style>
  <w:style w:type="paragraph" w:styleId="Piedepgina">
    <w:name w:val="footer"/>
    <w:basedOn w:val="Normal"/>
    <w:link w:val="PiedepginaCar"/>
    <w:uiPriority w:val="99"/>
    <w:unhideWhenUsed/>
    <w:rsid w:val="00AC45C7"/>
    <w:pPr>
      <w:tabs>
        <w:tab w:val="center" w:pos="4419"/>
        <w:tab w:val="right" w:pos="8838"/>
      </w:tabs>
    </w:pPr>
  </w:style>
  <w:style w:type="character" w:customStyle="1" w:styleId="PiedepginaCar">
    <w:name w:val="Pie de página Car"/>
    <w:basedOn w:val="Fuentedeprrafopredeter"/>
    <w:link w:val="Piedepgina"/>
    <w:uiPriority w:val="99"/>
    <w:rsid w:val="00AC45C7"/>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2B7931"/>
    <w:rPr>
      <w:rFonts w:ascii="Tahoma" w:hAnsi="Tahoma" w:cs="Tahoma"/>
      <w:sz w:val="16"/>
      <w:szCs w:val="16"/>
    </w:rPr>
  </w:style>
  <w:style w:type="character" w:customStyle="1" w:styleId="TextodegloboCar">
    <w:name w:val="Texto de globo Car"/>
    <w:basedOn w:val="Fuentedeprrafopredeter"/>
    <w:link w:val="Textodeglobo"/>
    <w:uiPriority w:val="99"/>
    <w:semiHidden/>
    <w:rsid w:val="002B7931"/>
    <w:rPr>
      <w:rFonts w:ascii="Tahoma" w:eastAsiaTheme="minorEastAsia" w:hAnsi="Tahoma" w:cs="Tahoma"/>
      <w:sz w:val="16"/>
      <w:szCs w:val="16"/>
      <w:lang w:val="es-ES_tradnl" w:eastAsia="es-ES"/>
    </w:rPr>
  </w:style>
  <w:style w:type="character" w:customStyle="1" w:styleId="Ttulo3Car">
    <w:name w:val="Título 3 Car"/>
    <w:basedOn w:val="Fuentedeprrafopredeter"/>
    <w:link w:val="Ttulo3"/>
    <w:uiPriority w:val="9"/>
    <w:semiHidden/>
    <w:rsid w:val="000C0470"/>
    <w:rPr>
      <w:rFonts w:asciiTheme="majorHAnsi" w:eastAsiaTheme="majorEastAsia" w:hAnsiTheme="majorHAnsi" w:cstheme="majorBidi"/>
      <w:color w:val="243F60" w:themeColor="accent1" w:themeShade="7F"/>
      <w:sz w:val="24"/>
      <w:szCs w:val="24"/>
      <w:lang w:val="es-ES_tradnl" w:eastAsia="es-ES"/>
    </w:rPr>
  </w:style>
  <w:style w:type="paragraph" w:customStyle="1" w:styleId="Ttulo11">
    <w:name w:val="Título 11"/>
    <w:basedOn w:val="Normal"/>
    <w:rsid w:val="000C0470"/>
    <w:pPr>
      <w:numPr>
        <w:numId w:val="23"/>
      </w:numPr>
    </w:pPr>
  </w:style>
  <w:style w:type="paragraph" w:customStyle="1" w:styleId="Ttulo21">
    <w:name w:val="Título 21"/>
    <w:basedOn w:val="Normal"/>
    <w:rsid w:val="000C0470"/>
    <w:pPr>
      <w:numPr>
        <w:ilvl w:val="1"/>
        <w:numId w:val="23"/>
      </w:numPr>
    </w:pPr>
  </w:style>
  <w:style w:type="paragraph" w:customStyle="1" w:styleId="Ttulo31">
    <w:name w:val="Título 31"/>
    <w:basedOn w:val="Normal"/>
    <w:rsid w:val="000C0470"/>
    <w:pPr>
      <w:numPr>
        <w:ilvl w:val="2"/>
        <w:numId w:val="23"/>
      </w:numPr>
    </w:pPr>
  </w:style>
  <w:style w:type="paragraph" w:customStyle="1" w:styleId="Ttulo41">
    <w:name w:val="Título 41"/>
    <w:basedOn w:val="Normal"/>
    <w:rsid w:val="000C0470"/>
    <w:pPr>
      <w:numPr>
        <w:ilvl w:val="3"/>
        <w:numId w:val="23"/>
      </w:numPr>
    </w:pPr>
  </w:style>
  <w:style w:type="paragraph" w:customStyle="1" w:styleId="Ttulo51">
    <w:name w:val="Título 51"/>
    <w:basedOn w:val="Normal"/>
    <w:rsid w:val="000C0470"/>
    <w:pPr>
      <w:numPr>
        <w:ilvl w:val="4"/>
        <w:numId w:val="23"/>
      </w:numPr>
    </w:pPr>
  </w:style>
  <w:style w:type="paragraph" w:customStyle="1" w:styleId="Ttulo61">
    <w:name w:val="Título 61"/>
    <w:basedOn w:val="Normal"/>
    <w:rsid w:val="000C0470"/>
    <w:pPr>
      <w:numPr>
        <w:ilvl w:val="5"/>
        <w:numId w:val="23"/>
      </w:numPr>
    </w:pPr>
  </w:style>
  <w:style w:type="paragraph" w:customStyle="1" w:styleId="Ttulo71">
    <w:name w:val="Título 71"/>
    <w:basedOn w:val="Normal"/>
    <w:rsid w:val="000C0470"/>
    <w:pPr>
      <w:numPr>
        <w:ilvl w:val="6"/>
        <w:numId w:val="23"/>
      </w:numPr>
    </w:pPr>
  </w:style>
  <w:style w:type="paragraph" w:customStyle="1" w:styleId="Ttulo81">
    <w:name w:val="Título 81"/>
    <w:basedOn w:val="Normal"/>
    <w:rsid w:val="000C0470"/>
    <w:pPr>
      <w:numPr>
        <w:ilvl w:val="7"/>
        <w:numId w:val="23"/>
      </w:numPr>
    </w:pPr>
  </w:style>
  <w:style w:type="paragraph" w:customStyle="1" w:styleId="Ttulo91">
    <w:name w:val="Título 91"/>
    <w:basedOn w:val="Normal"/>
    <w:rsid w:val="000C0470"/>
    <w:pPr>
      <w:numPr>
        <w:ilvl w:val="8"/>
        <w:numId w:val="23"/>
      </w:numPr>
    </w:pPr>
  </w:style>
  <w:style w:type="paragraph" w:styleId="TDC3">
    <w:name w:val="toc 3"/>
    <w:basedOn w:val="Normal"/>
    <w:next w:val="Normal"/>
    <w:autoRedefine/>
    <w:uiPriority w:val="39"/>
    <w:unhideWhenUsed/>
    <w:rsid w:val="0054409D"/>
    <w:pPr>
      <w:tabs>
        <w:tab w:val="left" w:pos="1134"/>
        <w:tab w:val="right" w:leader="dot" w:pos="9394"/>
      </w:tabs>
      <w:spacing w:after="100"/>
      <w:ind w:left="1134" w:hanging="708"/>
    </w:pPr>
  </w:style>
  <w:style w:type="paragraph" w:customStyle="1" w:styleId="BodyText2Sgl">
    <w:name w:val="Body Text 2 Sgl"/>
    <w:basedOn w:val="Normal"/>
    <w:qFormat/>
    <w:rsid w:val="00EE52DF"/>
    <w:pPr>
      <w:spacing w:after="240"/>
      <w:ind w:firstLine="720"/>
    </w:pPr>
    <w:rPr>
      <w:rFonts w:eastAsiaTheme="minorHAnsi"/>
      <w:sz w:val="20"/>
      <w:lang w:val="en-US" w:eastAsia="en-US"/>
    </w:rPr>
  </w:style>
  <w:style w:type="paragraph" w:styleId="Textoindependiente">
    <w:name w:val="Body Text"/>
    <w:basedOn w:val="Normal"/>
    <w:link w:val="TextoindependienteCar"/>
    <w:uiPriority w:val="99"/>
    <w:unhideWhenUsed/>
    <w:rsid w:val="00EE52DF"/>
    <w:pPr>
      <w:spacing w:after="120" w:line="259" w:lineRule="auto"/>
    </w:pPr>
    <w:rPr>
      <w:rFonts w:eastAsiaTheme="minorHAnsi"/>
      <w:szCs w:val="22"/>
      <w:lang w:eastAsia="en-US"/>
    </w:rPr>
  </w:style>
  <w:style w:type="character" w:customStyle="1" w:styleId="TextoindependienteCar">
    <w:name w:val="Texto independiente Car"/>
    <w:basedOn w:val="Fuentedeprrafopredeter"/>
    <w:link w:val="Textoindependiente"/>
    <w:uiPriority w:val="99"/>
    <w:rsid w:val="00EE52DF"/>
  </w:style>
  <w:style w:type="character" w:styleId="Refdecomentario">
    <w:name w:val="annotation reference"/>
    <w:basedOn w:val="Fuentedeprrafopredeter"/>
    <w:uiPriority w:val="99"/>
    <w:semiHidden/>
    <w:unhideWhenUsed/>
    <w:rsid w:val="00082E65"/>
    <w:rPr>
      <w:sz w:val="16"/>
      <w:szCs w:val="16"/>
    </w:rPr>
  </w:style>
  <w:style w:type="paragraph" w:styleId="Textocomentario">
    <w:name w:val="annotation text"/>
    <w:basedOn w:val="Normal"/>
    <w:link w:val="TextocomentarioCar"/>
    <w:uiPriority w:val="99"/>
    <w:unhideWhenUsed/>
    <w:rsid w:val="00082E65"/>
    <w:rPr>
      <w:sz w:val="20"/>
      <w:szCs w:val="20"/>
    </w:rPr>
  </w:style>
  <w:style w:type="character" w:customStyle="1" w:styleId="TextocomentarioCar">
    <w:name w:val="Texto comentario Car"/>
    <w:basedOn w:val="Fuentedeprrafopredeter"/>
    <w:link w:val="Textocomentario"/>
    <w:uiPriority w:val="99"/>
    <w:rsid w:val="00082E65"/>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082E65"/>
    <w:rPr>
      <w:b/>
      <w:bCs/>
    </w:rPr>
  </w:style>
  <w:style w:type="character" w:customStyle="1" w:styleId="AsuntodelcomentarioCar">
    <w:name w:val="Asunto del comentario Car"/>
    <w:basedOn w:val="TextocomentarioCar"/>
    <w:link w:val="Asuntodelcomentario"/>
    <w:uiPriority w:val="99"/>
    <w:semiHidden/>
    <w:rsid w:val="00082E65"/>
    <w:rPr>
      <w:rFonts w:eastAsiaTheme="minorEastAsia"/>
      <w:b/>
      <w:bCs/>
      <w:sz w:val="20"/>
      <w:szCs w:val="20"/>
      <w:lang w:val="es-ES_tradnl" w:eastAsia="es-ES"/>
    </w:rPr>
  </w:style>
  <w:style w:type="paragraph" w:styleId="Revisin">
    <w:name w:val="Revision"/>
    <w:hidden/>
    <w:uiPriority w:val="99"/>
    <w:semiHidden/>
    <w:rsid w:val="0054409D"/>
    <w:pPr>
      <w:spacing w:after="0" w:line="240" w:lineRule="auto"/>
    </w:pPr>
    <w:rPr>
      <w:rFonts w:eastAsiaTheme="minorEastAsia"/>
      <w:sz w:val="24"/>
      <w:szCs w:val="24"/>
      <w:lang w:val="es-ES_tradnl" w:eastAsia="es-ES"/>
    </w:rPr>
  </w:style>
  <w:style w:type="table" w:styleId="Tablanormal3">
    <w:name w:val="Plain Table 3"/>
    <w:basedOn w:val="Tablanormal"/>
    <w:uiPriority w:val="43"/>
    <w:rsid w:val="00FD317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lista7concolores-nfasis1">
    <w:name w:val="List Table 7 Colorful Accent 1"/>
    <w:basedOn w:val="Tablanormal"/>
    <w:uiPriority w:val="52"/>
    <w:rsid w:val="00FD3179"/>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Textodelmarcadordeposicin">
    <w:name w:val="Placeholder Text"/>
    <w:basedOn w:val="Fuentedeprrafopredeter"/>
    <w:uiPriority w:val="99"/>
    <w:semiHidden/>
    <w:rsid w:val="009B0F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8699">
      <w:bodyDiv w:val="1"/>
      <w:marLeft w:val="0"/>
      <w:marRight w:val="0"/>
      <w:marTop w:val="0"/>
      <w:marBottom w:val="0"/>
      <w:divBdr>
        <w:top w:val="none" w:sz="0" w:space="0" w:color="auto"/>
        <w:left w:val="none" w:sz="0" w:space="0" w:color="auto"/>
        <w:bottom w:val="none" w:sz="0" w:space="0" w:color="auto"/>
        <w:right w:val="none" w:sz="0" w:space="0" w:color="auto"/>
      </w:divBdr>
    </w:div>
    <w:div w:id="65929884">
      <w:bodyDiv w:val="1"/>
      <w:marLeft w:val="0"/>
      <w:marRight w:val="0"/>
      <w:marTop w:val="0"/>
      <w:marBottom w:val="0"/>
      <w:divBdr>
        <w:top w:val="none" w:sz="0" w:space="0" w:color="auto"/>
        <w:left w:val="none" w:sz="0" w:space="0" w:color="auto"/>
        <w:bottom w:val="none" w:sz="0" w:space="0" w:color="auto"/>
        <w:right w:val="none" w:sz="0" w:space="0" w:color="auto"/>
      </w:divBdr>
    </w:div>
    <w:div w:id="206840615">
      <w:bodyDiv w:val="1"/>
      <w:marLeft w:val="0"/>
      <w:marRight w:val="0"/>
      <w:marTop w:val="0"/>
      <w:marBottom w:val="0"/>
      <w:divBdr>
        <w:top w:val="none" w:sz="0" w:space="0" w:color="auto"/>
        <w:left w:val="none" w:sz="0" w:space="0" w:color="auto"/>
        <w:bottom w:val="none" w:sz="0" w:space="0" w:color="auto"/>
        <w:right w:val="none" w:sz="0" w:space="0" w:color="auto"/>
      </w:divBdr>
    </w:div>
    <w:div w:id="208031668">
      <w:bodyDiv w:val="1"/>
      <w:marLeft w:val="0"/>
      <w:marRight w:val="0"/>
      <w:marTop w:val="0"/>
      <w:marBottom w:val="0"/>
      <w:divBdr>
        <w:top w:val="none" w:sz="0" w:space="0" w:color="auto"/>
        <w:left w:val="none" w:sz="0" w:space="0" w:color="auto"/>
        <w:bottom w:val="none" w:sz="0" w:space="0" w:color="auto"/>
        <w:right w:val="none" w:sz="0" w:space="0" w:color="auto"/>
      </w:divBdr>
    </w:div>
    <w:div w:id="281689898">
      <w:bodyDiv w:val="1"/>
      <w:marLeft w:val="0"/>
      <w:marRight w:val="0"/>
      <w:marTop w:val="0"/>
      <w:marBottom w:val="0"/>
      <w:divBdr>
        <w:top w:val="none" w:sz="0" w:space="0" w:color="auto"/>
        <w:left w:val="none" w:sz="0" w:space="0" w:color="auto"/>
        <w:bottom w:val="none" w:sz="0" w:space="0" w:color="auto"/>
        <w:right w:val="none" w:sz="0" w:space="0" w:color="auto"/>
      </w:divBdr>
    </w:div>
    <w:div w:id="289480549">
      <w:bodyDiv w:val="1"/>
      <w:marLeft w:val="0"/>
      <w:marRight w:val="0"/>
      <w:marTop w:val="0"/>
      <w:marBottom w:val="0"/>
      <w:divBdr>
        <w:top w:val="none" w:sz="0" w:space="0" w:color="auto"/>
        <w:left w:val="none" w:sz="0" w:space="0" w:color="auto"/>
        <w:bottom w:val="none" w:sz="0" w:space="0" w:color="auto"/>
        <w:right w:val="none" w:sz="0" w:space="0" w:color="auto"/>
      </w:divBdr>
    </w:div>
    <w:div w:id="310988100">
      <w:bodyDiv w:val="1"/>
      <w:marLeft w:val="0"/>
      <w:marRight w:val="0"/>
      <w:marTop w:val="0"/>
      <w:marBottom w:val="0"/>
      <w:divBdr>
        <w:top w:val="none" w:sz="0" w:space="0" w:color="auto"/>
        <w:left w:val="none" w:sz="0" w:space="0" w:color="auto"/>
        <w:bottom w:val="none" w:sz="0" w:space="0" w:color="auto"/>
        <w:right w:val="none" w:sz="0" w:space="0" w:color="auto"/>
      </w:divBdr>
    </w:div>
    <w:div w:id="352264132">
      <w:bodyDiv w:val="1"/>
      <w:marLeft w:val="0"/>
      <w:marRight w:val="0"/>
      <w:marTop w:val="0"/>
      <w:marBottom w:val="0"/>
      <w:divBdr>
        <w:top w:val="none" w:sz="0" w:space="0" w:color="auto"/>
        <w:left w:val="none" w:sz="0" w:space="0" w:color="auto"/>
        <w:bottom w:val="none" w:sz="0" w:space="0" w:color="auto"/>
        <w:right w:val="none" w:sz="0" w:space="0" w:color="auto"/>
      </w:divBdr>
    </w:div>
    <w:div w:id="447234801">
      <w:bodyDiv w:val="1"/>
      <w:marLeft w:val="0"/>
      <w:marRight w:val="0"/>
      <w:marTop w:val="0"/>
      <w:marBottom w:val="0"/>
      <w:divBdr>
        <w:top w:val="none" w:sz="0" w:space="0" w:color="auto"/>
        <w:left w:val="none" w:sz="0" w:space="0" w:color="auto"/>
        <w:bottom w:val="none" w:sz="0" w:space="0" w:color="auto"/>
        <w:right w:val="none" w:sz="0" w:space="0" w:color="auto"/>
      </w:divBdr>
    </w:div>
    <w:div w:id="447435137">
      <w:bodyDiv w:val="1"/>
      <w:marLeft w:val="0"/>
      <w:marRight w:val="0"/>
      <w:marTop w:val="0"/>
      <w:marBottom w:val="0"/>
      <w:divBdr>
        <w:top w:val="none" w:sz="0" w:space="0" w:color="auto"/>
        <w:left w:val="none" w:sz="0" w:space="0" w:color="auto"/>
        <w:bottom w:val="none" w:sz="0" w:space="0" w:color="auto"/>
        <w:right w:val="none" w:sz="0" w:space="0" w:color="auto"/>
      </w:divBdr>
    </w:div>
    <w:div w:id="452797015">
      <w:bodyDiv w:val="1"/>
      <w:marLeft w:val="0"/>
      <w:marRight w:val="0"/>
      <w:marTop w:val="0"/>
      <w:marBottom w:val="0"/>
      <w:divBdr>
        <w:top w:val="none" w:sz="0" w:space="0" w:color="auto"/>
        <w:left w:val="none" w:sz="0" w:space="0" w:color="auto"/>
        <w:bottom w:val="none" w:sz="0" w:space="0" w:color="auto"/>
        <w:right w:val="none" w:sz="0" w:space="0" w:color="auto"/>
      </w:divBdr>
    </w:div>
    <w:div w:id="486481220">
      <w:bodyDiv w:val="1"/>
      <w:marLeft w:val="0"/>
      <w:marRight w:val="0"/>
      <w:marTop w:val="0"/>
      <w:marBottom w:val="0"/>
      <w:divBdr>
        <w:top w:val="none" w:sz="0" w:space="0" w:color="auto"/>
        <w:left w:val="none" w:sz="0" w:space="0" w:color="auto"/>
        <w:bottom w:val="none" w:sz="0" w:space="0" w:color="auto"/>
        <w:right w:val="none" w:sz="0" w:space="0" w:color="auto"/>
      </w:divBdr>
    </w:div>
    <w:div w:id="493037860">
      <w:bodyDiv w:val="1"/>
      <w:marLeft w:val="0"/>
      <w:marRight w:val="0"/>
      <w:marTop w:val="0"/>
      <w:marBottom w:val="0"/>
      <w:divBdr>
        <w:top w:val="none" w:sz="0" w:space="0" w:color="auto"/>
        <w:left w:val="none" w:sz="0" w:space="0" w:color="auto"/>
        <w:bottom w:val="none" w:sz="0" w:space="0" w:color="auto"/>
        <w:right w:val="none" w:sz="0" w:space="0" w:color="auto"/>
      </w:divBdr>
    </w:div>
    <w:div w:id="551356417">
      <w:bodyDiv w:val="1"/>
      <w:marLeft w:val="0"/>
      <w:marRight w:val="0"/>
      <w:marTop w:val="0"/>
      <w:marBottom w:val="0"/>
      <w:divBdr>
        <w:top w:val="none" w:sz="0" w:space="0" w:color="auto"/>
        <w:left w:val="none" w:sz="0" w:space="0" w:color="auto"/>
        <w:bottom w:val="none" w:sz="0" w:space="0" w:color="auto"/>
        <w:right w:val="none" w:sz="0" w:space="0" w:color="auto"/>
      </w:divBdr>
    </w:div>
    <w:div w:id="641885873">
      <w:bodyDiv w:val="1"/>
      <w:marLeft w:val="0"/>
      <w:marRight w:val="0"/>
      <w:marTop w:val="0"/>
      <w:marBottom w:val="0"/>
      <w:divBdr>
        <w:top w:val="none" w:sz="0" w:space="0" w:color="auto"/>
        <w:left w:val="none" w:sz="0" w:space="0" w:color="auto"/>
        <w:bottom w:val="none" w:sz="0" w:space="0" w:color="auto"/>
        <w:right w:val="none" w:sz="0" w:space="0" w:color="auto"/>
      </w:divBdr>
    </w:div>
    <w:div w:id="672680472">
      <w:bodyDiv w:val="1"/>
      <w:marLeft w:val="0"/>
      <w:marRight w:val="0"/>
      <w:marTop w:val="0"/>
      <w:marBottom w:val="0"/>
      <w:divBdr>
        <w:top w:val="none" w:sz="0" w:space="0" w:color="auto"/>
        <w:left w:val="none" w:sz="0" w:space="0" w:color="auto"/>
        <w:bottom w:val="none" w:sz="0" w:space="0" w:color="auto"/>
        <w:right w:val="none" w:sz="0" w:space="0" w:color="auto"/>
      </w:divBdr>
    </w:div>
    <w:div w:id="694312612">
      <w:bodyDiv w:val="1"/>
      <w:marLeft w:val="0"/>
      <w:marRight w:val="0"/>
      <w:marTop w:val="0"/>
      <w:marBottom w:val="0"/>
      <w:divBdr>
        <w:top w:val="none" w:sz="0" w:space="0" w:color="auto"/>
        <w:left w:val="none" w:sz="0" w:space="0" w:color="auto"/>
        <w:bottom w:val="none" w:sz="0" w:space="0" w:color="auto"/>
        <w:right w:val="none" w:sz="0" w:space="0" w:color="auto"/>
      </w:divBdr>
    </w:div>
    <w:div w:id="711147682">
      <w:bodyDiv w:val="1"/>
      <w:marLeft w:val="0"/>
      <w:marRight w:val="0"/>
      <w:marTop w:val="0"/>
      <w:marBottom w:val="0"/>
      <w:divBdr>
        <w:top w:val="none" w:sz="0" w:space="0" w:color="auto"/>
        <w:left w:val="none" w:sz="0" w:space="0" w:color="auto"/>
        <w:bottom w:val="none" w:sz="0" w:space="0" w:color="auto"/>
        <w:right w:val="none" w:sz="0" w:space="0" w:color="auto"/>
      </w:divBdr>
    </w:div>
    <w:div w:id="767505616">
      <w:bodyDiv w:val="1"/>
      <w:marLeft w:val="0"/>
      <w:marRight w:val="0"/>
      <w:marTop w:val="0"/>
      <w:marBottom w:val="0"/>
      <w:divBdr>
        <w:top w:val="none" w:sz="0" w:space="0" w:color="auto"/>
        <w:left w:val="none" w:sz="0" w:space="0" w:color="auto"/>
        <w:bottom w:val="none" w:sz="0" w:space="0" w:color="auto"/>
        <w:right w:val="none" w:sz="0" w:space="0" w:color="auto"/>
      </w:divBdr>
    </w:div>
    <w:div w:id="768620205">
      <w:bodyDiv w:val="1"/>
      <w:marLeft w:val="0"/>
      <w:marRight w:val="0"/>
      <w:marTop w:val="0"/>
      <w:marBottom w:val="0"/>
      <w:divBdr>
        <w:top w:val="none" w:sz="0" w:space="0" w:color="auto"/>
        <w:left w:val="none" w:sz="0" w:space="0" w:color="auto"/>
        <w:bottom w:val="none" w:sz="0" w:space="0" w:color="auto"/>
        <w:right w:val="none" w:sz="0" w:space="0" w:color="auto"/>
      </w:divBdr>
    </w:div>
    <w:div w:id="773591794">
      <w:bodyDiv w:val="1"/>
      <w:marLeft w:val="0"/>
      <w:marRight w:val="0"/>
      <w:marTop w:val="0"/>
      <w:marBottom w:val="0"/>
      <w:divBdr>
        <w:top w:val="none" w:sz="0" w:space="0" w:color="auto"/>
        <w:left w:val="none" w:sz="0" w:space="0" w:color="auto"/>
        <w:bottom w:val="none" w:sz="0" w:space="0" w:color="auto"/>
        <w:right w:val="none" w:sz="0" w:space="0" w:color="auto"/>
      </w:divBdr>
    </w:div>
    <w:div w:id="777871340">
      <w:bodyDiv w:val="1"/>
      <w:marLeft w:val="0"/>
      <w:marRight w:val="0"/>
      <w:marTop w:val="0"/>
      <w:marBottom w:val="0"/>
      <w:divBdr>
        <w:top w:val="none" w:sz="0" w:space="0" w:color="auto"/>
        <w:left w:val="none" w:sz="0" w:space="0" w:color="auto"/>
        <w:bottom w:val="none" w:sz="0" w:space="0" w:color="auto"/>
        <w:right w:val="none" w:sz="0" w:space="0" w:color="auto"/>
      </w:divBdr>
    </w:div>
    <w:div w:id="800881172">
      <w:bodyDiv w:val="1"/>
      <w:marLeft w:val="0"/>
      <w:marRight w:val="0"/>
      <w:marTop w:val="0"/>
      <w:marBottom w:val="0"/>
      <w:divBdr>
        <w:top w:val="none" w:sz="0" w:space="0" w:color="auto"/>
        <w:left w:val="none" w:sz="0" w:space="0" w:color="auto"/>
        <w:bottom w:val="none" w:sz="0" w:space="0" w:color="auto"/>
        <w:right w:val="none" w:sz="0" w:space="0" w:color="auto"/>
      </w:divBdr>
    </w:div>
    <w:div w:id="856696186">
      <w:bodyDiv w:val="1"/>
      <w:marLeft w:val="0"/>
      <w:marRight w:val="0"/>
      <w:marTop w:val="0"/>
      <w:marBottom w:val="0"/>
      <w:divBdr>
        <w:top w:val="none" w:sz="0" w:space="0" w:color="auto"/>
        <w:left w:val="none" w:sz="0" w:space="0" w:color="auto"/>
        <w:bottom w:val="none" w:sz="0" w:space="0" w:color="auto"/>
        <w:right w:val="none" w:sz="0" w:space="0" w:color="auto"/>
      </w:divBdr>
    </w:div>
    <w:div w:id="887453560">
      <w:bodyDiv w:val="1"/>
      <w:marLeft w:val="0"/>
      <w:marRight w:val="0"/>
      <w:marTop w:val="0"/>
      <w:marBottom w:val="0"/>
      <w:divBdr>
        <w:top w:val="none" w:sz="0" w:space="0" w:color="auto"/>
        <w:left w:val="none" w:sz="0" w:space="0" w:color="auto"/>
        <w:bottom w:val="none" w:sz="0" w:space="0" w:color="auto"/>
        <w:right w:val="none" w:sz="0" w:space="0" w:color="auto"/>
      </w:divBdr>
    </w:div>
    <w:div w:id="893740511">
      <w:bodyDiv w:val="1"/>
      <w:marLeft w:val="0"/>
      <w:marRight w:val="0"/>
      <w:marTop w:val="0"/>
      <w:marBottom w:val="0"/>
      <w:divBdr>
        <w:top w:val="none" w:sz="0" w:space="0" w:color="auto"/>
        <w:left w:val="none" w:sz="0" w:space="0" w:color="auto"/>
        <w:bottom w:val="none" w:sz="0" w:space="0" w:color="auto"/>
        <w:right w:val="none" w:sz="0" w:space="0" w:color="auto"/>
      </w:divBdr>
    </w:div>
    <w:div w:id="936333511">
      <w:bodyDiv w:val="1"/>
      <w:marLeft w:val="0"/>
      <w:marRight w:val="0"/>
      <w:marTop w:val="0"/>
      <w:marBottom w:val="0"/>
      <w:divBdr>
        <w:top w:val="none" w:sz="0" w:space="0" w:color="auto"/>
        <w:left w:val="none" w:sz="0" w:space="0" w:color="auto"/>
        <w:bottom w:val="none" w:sz="0" w:space="0" w:color="auto"/>
        <w:right w:val="none" w:sz="0" w:space="0" w:color="auto"/>
      </w:divBdr>
    </w:div>
    <w:div w:id="1026370517">
      <w:bodyDiv w:val="1"/>
      <w:marLeft w:val="0"/>
      <w:marRight w:val="0"/>
      <w:marTop w:val="0"/>
      <w:marBottom w:val="0"/>
      <w:divBdr>
        <w:top w:val="none" w:sz="0" w:space="0" w:color="auto"/>
        <w:left w:val="none" w:sz="0" w:space="0" w:color="auto"/>
        <w:bottom w:val="none" w:sz="0" w:space="0" w:color="auto"/>
        <w:right w:val="none" w:sz="0" w:space="0" w:color="auto"/>
      </w:divBdr>
    </w:div>
    <w:div w:id="1036812108">
      <w:bodyDiv w:val="1"/>
      <w:marLeft w:val="0"/>
      <w:marRight w:val="0"/>
      <w:marTop w:val="0"/>
      <w:marBottom w:val="0"/>
      <w:divBdr>
        <w:top w:val="none" w:sz="0" w:space="0" w:color="auto"/>
        <w:left w:val="none" w:sz="0" w:space="0" w:color="auto"/>
        <w:bottom w:val="none" w:sz="0" w:space="0" w:color="auto"/>
        <w:right w:val="none" w:sz="0" w:space="0" w:color="auto"/>
      </w:divBdr>
    </w:div>
    <w:div w:id="1056320229">
      <w:bodyDiv w:val="1"/>
      <w:marLeft w:val="0"/>
      <w:marRight w:val="0"/>
      <w:marTop w:val="0"/>
      <w:marBottom w:val="0"/>
      <w:divBdr>
        <w:top w:val="none" w:sz="0" w:space="0" w:color="auto"/>
        <w:left w:val="none" w:sz="0" w:space="0" w:color="auto"/>
        <w:bottom w:val="none" w:sz="0" w:space="0" w:color="auto"/>
        <w:right w:val="none" w:sz="0" w:space="0" w:color="auto"/>
      </w:divBdr>
    </w:div>
    <w:div w:id="1118334656">
      <w:bodyDiv w:val="1"/>
      <w:marLeft w:val="0"/>
      <w:marRight w:val="0"/>
      <w:marTop w:val="0"/>
      <w:marBottom w:val="0"/>
      <w:divBdr>
        <w:top w:val="none" w:sz="0" w:space="0" w:color="auto"/>
        <w:left w:val="none" w:sz="0" w:space="0" w:color="auto"/>
        <w:bottom w:val="none" w:sz="0" w:space="0" w:color="auto"/>
        <w:right w:val="none" w:sz="0" w:space="0" w:color="auto"/>
      </w:divBdr>
    </w:div>
    <w:div w:id="1148786281">
      <w:bodyDiv w:val="1"/>
      <w:marLeft w:val="0"/>
      <w:marRight w:val="0"/>
      <w:marTop w:val="0"/>
      <w:marBottom w:val="0"/>
      <w:divBdr>
        <w:top w:val="none" w:sz="0" w:space="0" w:color="auto"/>
        <w:left w:val="none" w:sz="0" w:space="0" w:color="auto"/>
        <w:bottom w:val="none" w:sz="0" w:space="0" w:color="auto"/>
        <w:right w:val="none" w:sz="0" w:space="0" w:color="auto"/>
      </w:divBdr>
    </w:div>
    <w:div w:id="1173185968">
      <w:bodyDiv w:val="1"/>
      <w:marLeft w:val="0"/>
      <w:marRight w:val="0"/>
      <w:marTop w:val="0"/>
      <w:marBottom w:val="0"/>
      <w:divBdr>
        <w:top w:val="none" w:sz="0" w:space="0" w:color="auto"/>
        <w:left w:val="none" w:sz="0" w:space="0" w:color="auto"/>
        <w:bottom w:val="none" w:sz="0" w:space="0" w:color="auto"/>
        <w:right w:val="none" w:sz="0" w:space="0" w:color="auto"/>
      </w:divBdr>
    </w:div>
    <w:div w:id="1192300847">
      <w:bodyDiv w:val="1"/>
      <w:marLeft w:val="0"/>
      <w:marRight w:val="0"/>
      <w:marTop w:val="0"/>
      <w:marBottom w:val="0"/>
      <w:divBdr>
        <w:top w:val="none" w:sz="0" w:space="0" w:color="auto"/>
        <w:left w:val="none" w:sz="0" w:space="0" w:color="auto"/>
        <w:bottom w:val="none" w:sz="0" w:space="0" w:color="auto"/>
        <w:right w:val="none" w:sz="0" w:space="0" w:color="auto"/>
      </w:divBdr>
    </w:div>
    <w:div w:id="1209881365">
      <w:bodyDiv w:val="1"/>
      <w:marLeft w:val="0"/>
      <w:marRight w:val="0"/>
      <w:marTop w:val="0"/>
      <w:marBottom w:val="0"/>
      <w:divBdr>
        <w:top w:val="none" w:sz="0" w:space="0" w:color="auto"/>
        <w:left w:val="none" w:sz="0" w:space="0" w:color="auto"/>
        <w:bottom w:val="none" w:sz="0" w:space="0" w:color="auto"/>
        <w:right w:val="none" w:sz="0" w:space="0" w:color="auto"/>
      </w:divBdr>
    </w:div>
    <w:div w:id="1211458198">
      <w:bodyDiv w:val="1"/>
      <w:marLeft w:val="0"/>
      <w:marRight w:val="0"/>
      <w:marTop w:val="0"/>
      <w:marBottom w:val="0"/>
      <w:divBdr>
        <w:top w:val="none" w:sz="0" w:space="0" w:color="auto"/>
        <w:left w:val="none" w:sz="0" w:space="0" w:color="auto"/>
        <w:bottom w:val="none" w:sz="0" w:space="0" w:color="auto"/>
        <w:right w:val="none" w:sz="0" w:space="0" w:color="auto"/>
      </w:divBdr>
    </w:div>
    <w:div w:id="1301375736">
      <w:bodyDiv w:val="1"/>
      <w:marLeft w:val="0"/>
      <w:marRight w:val="0"/>
      <w:marTop w:val="0"/>
      <w:marBottom w:val="0"/>
      <w:divBdr>
        <w:top w:val="none" w:sz="0" w:space="0" w:color="auto"/>
        <w:left w:val="none" w:sz="0" w:space="0" w:color="auto"/>
        <w:bottom w:val="none" w:sz="0" w:space="0" w:color="auto"/>
        <w:right w:val="none" w:sz="0" w:space="0" w:color="auto"/>
      </w:divBdr>
    </w:div>
    <w:div w:id="1318152572">
      <w:bodyDiv w:val="1"/>
      <w:marLeft w:val="0"/>
      <w:marRight w:val="0"/>
      <w:marTop w:val="0"/>
      <w:marBottom w:val="0"/>
      <w:divBdr>
        <w:top w:val="none" w:sz="0" w:space="0" w:color="auto"/>
        <w:left w:val="none" w:sz="0" w:space="0" w:color="auto"/>
        <w:bottom w:val="none" w:sz="0" w:space="0" w:color="auto"/>
        <w:right w:val="none" w:sz="0" w:space="0" w:color="auto"/>
      </w:divBdr>
    </w:div>
    <w:div w:id="1355233308">
      <w:bodyDiv w:val="1"/>
      <w:marLeft w:val="0"/>
      <w:marRight w:val="0"/>
      <w:marTop w:val="0"/>
      <w:marBottom w:val="0"/>
      <w:divBdr>
        <w:top w:val="none" w:sz="0" w:space="0" w:color="auto"/>
        <w:left w:val="none" w:sz="0" w:space="0" w:color="auto"/>
        <w:bottom w:val="none" w:sz="0" w:space="0" w:color="auto"/>
        <w:right w:val="none" w:sz="0" w:space="0" w:color="auto"/>
      </w:divBdr>
    </w:div>
    <w:div w:id="1366055376">
      <w:bodyDiv w:val="1"/>
      <w:marLeft w:val="0"/>
      <w:marRight w:val="0"/>
      <w:marTop w:val="0"/>
      <w:marBottom w:val="0"/>
      <w:divBdr>
        <w:top w:val="none" w:sz="0" w:space="0" w:color="auto"/>
        <w:left w:val="none" w:sz="0" w:space="0" w:color="auto"/>
        <w:bottom w:val="none" w:sz="0" w:space="0" w:color="auto"/>
        <w:right w:val="none" w:sz="0" w:space="0" w:color="auto"/>
      </w:divBdr>
    </w:div>
    <w:div w:id="1388143364">
      <w:bodyDiv w:val="1"/>
      <w:marLeft w:val="0"/>
      <w:marRight w:val="0"/>
      <w:marTop w:val="0"/>
      <w:marBottom w:val="0"/>
      <w:divBdr>
        <w:top w:val="none" w:sz="0" w:space="0" w:color="auto"/>
        <w:left w:val="none" w:sz="0" w:space="0" w:color="auto"/>
        <w:bottom w:val="none" w:sz="0" w:space="0" w:color="auto"/>
        <w:right w:val="none" w:sz="0" w:space="0" w:color="auto"/>
      </w:divBdr>
    </w:div>
    <w:div w:id="1411197029">
      <w:bodyDiv w:val="1"/>
      <w:marLeft w:val="0"/>
      <w:marRight w:val="0"/>
      <w:marTop w:val="0"/>
      <w:marBottom w:val="0"/>
      <w:divBdr>
        <w:top w:val="none" w:sz="0" w:space="0" w:color="auto"/>
        <w:left w:val="none" w:sz="0" w:space="0" w:color="auto"/>
        <w:bottom w:val="none" w:sz="0" w:space="0" w:color="auto"/>
        <w:right w:val="none" w:sz="0" w:space="0" w:color="auto"/>
      </w:divBdr>
    </w:div>
    <w:div w:id="1452939949">
      <w:bodyDiv w:val="1"/>
      <w:marLeft w:val="0"/>
      <w:marRight w:val="0"/>
      <w:marTop w:val="0"/>
      <w:marBottom w:val="0"/>
      <w:divBdr>
        <w:top w:val="none" w:sz="0" w:space="0" w:color="auto"/>
        <w:left w:val="none" w:sz="0" w:space="0" w:color="auto"/>
        <w:bottom w:val="none" w:sz="0" w:space="0" w:color="auto"/>
        <w:right w:val="none" w:sz="0" w:space="0" w:color="auto"/>
      </w:divBdr>
    </w:div>
    <w:div w:id="1460567963">
      <w:bodyDiv w:val="1"/>
      <w:marLeft w:val="0"/>
      <w:marRight w:val="0"/>
      <w:marTop w:val="0"/>
      <w:marBottom w:val="0"/>
      <w:divBdr>
        <w:top w:val="none" w:sz="0" w:space="0" w:color="auto"/>
        <w:left w:val="none" w:sz="0" w:space="0" w:color="auto"/>
        <w:bottom w:val="none" w:sz="0" w:space="0" w:color="auto"/>
        <w:right w:val="none" w:sz="0" w:space="0" w:color="auto"/>
      </w:divBdr>
    </w:div>
    <w:div w:id="1569417460">
      <w:bodyDiv w:val="1"/>
      <w:marLeft w:val="0"/>
      <w:marRight w:val="0"/>
      <w:marTop w:val="0"/>
      <w:marBottom w:val="0"/>
      <w:divBdr>
        <w:top w:val="none" w:sz="0" w:space="0" w:color="auto"/>
        <w:left w:val="none" w:sz="0" w:space="0" w:color="auto"/>
        <w:bottom w:val="none" w:sz="0" w:space="0" w:color="auto"/>
        <w:right w:val="none" w:sz="0" w:space="0" w:color="auto"/>
      </w:divBdr>
    </w:div>
    <w:div w:id="1731222267">
      <w:bodyDiv w:val="1"/>
      <w:marLeft w:val="0"/>
      <w:marRight w:val="0"/>
      <w:marTop w:val="0"/>
      <w:marBottom w:val="0"/>
      <w:divBdr>
        <w:top w:val="none" w:sz="0" w:space="0" w:color="auto"/>
        <w:left w:val="none" w:sz="0" w:space="0" w:color="auto"/>
        <w:bottom w:val="none" w:sz="0" w:space="0" w:color="auto"/>
        <w:right w:val="none" w:sz="0" w:space="0" w:color="auto"/>
      </w:divBdr>
    </w:div>
    <w:div w:id="1772046326">
      <w:bodyDiv w:val="1"/>
      <w:marLeft w:val="0"/>
      <w:marRight w:val="0"/>
      <w:marTop w:val="0"/>
      <w:marBottom w:val="0"/>
      <w:divBdr>
        <w:top w:val="none" w:sz="0" w:space="0" w:color="auto"/>
        <w:left w:val="none" w:sz="0" w:space="0" w:color="auto"/>
        <w:bottom w:val="none" w:sz="0" w:space="0" w:color="auto"/>
        <w:right w:val="none" w:sz="0" w:space="0" w:color="auto"/>
      </w:divBdr>
    </w:div>
    <w:div w:id="1790857938">
      <w:bodyDiv w:val="1"/>
      <w:marLeft w:val="0"/>
      <w:marRight w:val="0"/>
      <w:marTop w:val="0"/>
      <w:marBottom w:val="0"/>
      <w:divBdr>
        <w:top w:val="none" w:sz="0" w:space="0" w:color="auto"/>
        <w:left w:val="none" w:sz="0" w:space="0" w:color="auto"/>
        <w:bottom w:val="none" w:sz="0" w:space="0" w:color="auto"/>
        <w:right w:val="none" w:sz="0" w:space="0" w:color="auto"/>
      </w:divBdr>
      <w:divsChild>
        <w:div w:id="891186904">
          <w:marLeft w:val="547"/>
          <w:marRight w:val="0"/>
          <w:marTop w:val="0"/>
          <w:marBottom w:val="0"/>
          <w:divBdr>
            <w:top w:val="none" w:sz="0" w:space="0" w:color="auto"/>
            <w:left w:val="none" w:sz="0" w:space="0" w:color="auto"/>
            <w:bottom w:val="none" w:sz="0" w:space="0" w:color="auto"/>
            <w:right w:val="none" w:sz="0" w:space="0" w:color="auto"/>
          </w:divBdr>
        </w:div>
      </w:divsChild>
    </w:div>
    <w:div w:id="1834835104">
      <w:bodyDiv w:val="1"/>
      <w:marLeft w:val="0"/>
      <w:marRight w:val="0"/>
      <w:marTop w:val="0"/>
      <w:marBottom w:val="0"/>
      <w:divBdr>
        <w:top w:val="none" w:sz="0" w:space="0" w:color="auto"/>
        <w:left w:val="none" w:sz="0" w:space="0" w:color="auto"/>
        <w:bottom w:val="none" w:sz="0" w:space="0" w:color="auto"/>
        <w:right w:val="none" w:sz="0" w:space="0" w:color="auto"/>
      </w:divBdr>
    </w:div>
    <w:div w:id="1835686885">
      <w:bodyDiv w:val="1"/>
      <w:marLeft w:val="0"/>
      <w:marRight w:val="0"/>
      <w:marTop w:val="0"/>
      <w:marBottom w:val="0"/>
      <w:divBdr>
        <w:top w:val="none" w:sz="0" w:space="0" w:color="auto"/>
        <w:left w:val="none" w:sz="0" w:space="0" w:color="auto"/>
        <w:bottom w:val="none" w:sz="0" w:space="0" w:color="auto"/>
        <w:right w:val="none" w:sz="0" w:space="0" w:color="auto"/>
      </w:divBdr>
    </w:div>
    <w:div w:id="1874077858">
      <w:bodyDiv w:val="1"/>
      <w:marLeft w:val="0"/>
      <w:marRight w:val="0"/>
      <w:marTop w:val="0"/>
      <w:marBottom w:val="0"/>
      <w:divBdr>
        <w:top w:val="none" w:sz="0" w:space="0" w:color="auto"/>
        <w:left w:val="none" w:sz="0" w:space="0" w:color="auto"/>
        <w:bottom w:val="none" w:sz="0" w:space="0" w:color="auto"/>
        <w:right w:val="none" w:sz="0" w:space="0" w:color="auto"/>
      </w:divBdr>
    </w:div>
    <w:div w:id="1905945296">
      <w:bodyDiv w:val="1"/>
      <w:marLeft w:val="0"/>
      <w:marRight w:val="0"/>
      <w:marTop w:val="0"/>
      <w:marBottom w:val="0"/>
      <w:divBdr>
        <w:top w:val="none" w:sz="0" w:space="0" w:color="auto"/>
        <w:left w:val="none" w:sz="0" w:space="0" w:color="auto"/>
        <w:bottom w:val="none" w:sz="0" w:space="0" w:color="auto"/>
        <w:right w:val="none" w:sz="0" w:space="0" w:color="auto"/>
      </w:divBdr>
    </w:div>
    <w:div w:id="1922448748">
      <w:bodyDiv w:val="1"/>
      <w:marLeft w:val="0"/>
      <w:marRight w:val="0"/>
      <w:marTop w:val="0"/>
      <w:marBottom w:val="0"/>
      <w:divBdr>
        <w:top w:val="none" w:sz="0" w:space="0" w:color="auto"/>
        <w:left w:val="none" w:sz="0" w:space="0" w:color="auto"/>
        <w:bottom w:val="none" w:sz="0" w:space="0" w:color="auto"/>
        <w:right w:val="none" w:sz="0" w:space="0" w:color="auto"/>
      </w:divBdr>
    </w:div>
    <w:div w:id="1940335299">
      <w:bodyDiv w:val="1"/>
      <w:marLeft w:val="0"/>
      <w:marRight w:val="0"/>
      <w:marTop w:val="0"/>
      <w:marBottom w:val="0"/>
      <w:divBdr>
        <w:top w:val="none" w:sz="0" w:space="0" w:color="auto"/>
        <w:left w:val="none" w:sz="0" w:space="0" w:color="auto"/>
        <w:bottom w:val="none" w:sz="0" w:space="0" w:color="auto"/>
        <w:right w:val="none" w:sz="0" w:space="0" w:color="auto"/>
      </w:divBdr>
    </w:div>
    <w:div w:id="1966697060">
      <w:bodyDiv w:val="1"/>
      <w:marLeft w:val="0"/>
      <w:marRight w:val="0"/>
      <w:marTop w:val="0"/>
      <w:marBottom w:val="0"/>
      <w:divBdr>
        <w:top w:val="none" w:sz="0" w:space="0" w:color="auto"/>
        <w:left w:val="none" w:sz="0" w:space="0" w:color="auto"/>
        <w:bottom w:val="none" w:sz="0" w:space="0" w:color="auto"/>
        <w:right w:val="none" w:sz="0" w:space="0" w:color="auto"/>
      </w:divBdr>
    </w:div>
    <w:div w:id="2031370925">
      <w:bodyDiv w:val="1"/>
      <w:marLeft w:val="0"/>
      <w:marRight w:val="0"/>
      <w:marTop w:val="0"/>
      <w:marBottom w:val="0"/>
      <w:divBdr>
        <w:top w:val="none" w:sz="0" w:space="0" w:color="auto"/>
        <w:left w:val="none" w:sz="0" w:space="0" w:color="auto"/>
        <w:bottom w:val="none" w:sz="0" w:space="0" w:color="auto"/>
        <w:right w:val="none" w:sz="0" w:space="0" w:color="auto"/>
      </w:divBdr>
    </w:div>
    <w:div w:id="2063139057">
      <w:bodyDiv w:val="1"/>
      <w:marLeft w:val="0"/>
      <w:marRight w:val="0"/>
      <w:marTop w:val="0"/>
      <w:marBottom w:val="0"/>
      <w:divBdr>
        <w:top w:val="none" w:sz="0" w:space="0" w:color="auto"/>
        <w:left w:val="none" w:sz="0" w:space="0" w:color="auto"/>
        <w:bottom w:val="none" w:sz="0" w:space="0" w:color="auto"/>
        <w:right w:val="none" w:sz="0" w:space="0" w:color="auto"/>
      </w:divBdr>
    </w:div>
    <w:div w:id="2109497222">
      <w:bodyDiv w:val="1"/>
      <w:marLeft w:val="0"/>
      <w:marRight w:val="0"/>
      <w:marTop w:val="0"/>
      <w:marBottom w:val="0"/>
      <w:divBdr>
        <w:top w:val="none" w:sz="0" w:space="0" w:color="auto"/>
        <w:left w:val="none" w:sz="0" w:space="0" w:color="auto"/>
        <w:bottom w:val="none" w:sz="0" w:space="0" w:color="auto"/>
        <w:right w:val="none" w:sz="0" w:space="0" w:color="auto"/>
      </w:divBdr>
    </w:div>
    <w:div w:id="2132359836">
      <w:bodyDiv w:val="1"/>
      <w:marLeft w:val="0"/>
      <w:marRight w:val="0"/>
      <w:marTop w:val="0"/>
      <w:marBottom w:val="0"/>
      <w:divBdr>
        <w:top w:val="none" w:sz="0" w:space="0" w:color="auto"/>
        <w:left w:val="none" w:sz="0" w:space="0" w:color="auto"/>
        <w:bottom w:val="none" w:sz="0" w:space="0" w:color="auto"/>
        <w:right w:val="none" w:sz="0" w:space="0" w:color="auto"/>
      </w:divBdr>
    </w:div>
    <w:div w:id="214184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Layout" Target="diagrams/layout2.xml"/><Relationship Id="rId26" Type="http://schemas.openxmlformats.org/officeDocument/2006/relationships/diagramQuickStyle" Target="diagrams/quickStyle3.xml"/><Relationship Id="rId39" Type="http://schemas.openxmlformats.org/officeDocument/2006/relationships/chart" Target="charts/chart11.xml"/><Relationship Id="rId21" Type="http://schemas.microsoft.com/office/2007/relationships/diagramDrawing" Target="diagrams/drawing2.xml"/><Relationship Id="rId34" Type="http://schemas.openxmlformats.org/officeDocument/2006/relationships/diagramData" Target="diagrams/data4.xml"/><Relationship Id="rId42" Type="http://schemas.openxmlformats.org/officeDocument/2006/relationships/diagramLayout" Target="diagrams/layout5.xm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6.xml"/><Relationship Id="rId11" Type="http://schemas.openxmlformats.org/officeDocument/2006/relationships/diagramQuickStyle" Target="diagrams/quickStyle1.xml"/><Relationship Id="rId24" Type="http://schemas.openxmlformats.org/officeDocument/2006/relationships/diagramData" Target="diagrams/data3.xml"/><Relationship Id="rId32" Type="http://schemas.openxmlformats.org/officeDocument/2006/relationships/chart" Target="charts/chart9.xml"/><Relationship Id="rId37" Type="http://schemas.openxmlformats.org/officeDocument/2006/relationships/diagramColors" Target="diagrams/colors4.xml"/><Relationship Id="rId40" Type="http://schemas.openxmlformats.org/officeDocument/2006/relationships/chart" Target="charts/chart12.xml"/><Relationship Id="rId45" Type="http://schemas.microsoft.com/office/2007/relationships/diagramDrawing" Target="diagrams/drawing5.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5.xml"/><Relationship Id="rId28" Type="http://schemas.microsoft.com/office/2007/relationships/diagramDrawing" Target="diagrams/drawing3.xml"/><Relationship Id="rId36" Type="http://schemas.openxmlformats.org/officeDocument/2006/relationships/diagramQuickStyle" Target="diagrams/quickStyle4.xml"/><Relationship Id="rId49" Type="http://schemas.openxmlformats.org/officeDocument/2006/relationships/footer" Target="footer2.xml"/><Relationship Id="rId10" Type="http://schemas.openxmlformats.org/officeDocument/2006/relationships/diagramLayout" Target="diagrams/layout1.xml"/><Relationship Id="rId19" Type="http://schemas.openxmlformats.org/officeDocument/2006/relationships/diagramQuickStyle" Target="diagrams/quickStyle2.xml"/><Relationship Id="rId31" Type="http://schemas.openxmlformats.org/officeDocument/2006/relationships/chart" Target="charts/chart8.xml"/><Relationship Id="rId44" Type="http://schemas.openxmlformats.org/officeDocument/2006/relationships/diagramColors" Target="diagrams/colors5.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chart" Target="charts/chart4.xml"/><Relationship Id="rId27" Type="http://schemas.openxmlformats.org/officeDocument/2006/relationships/diagramColors" Target="diagrams/colors3.xml"/><Relationship Id="rId30" Type="http://schemas.openxmlformats.org/officeDocument/2006/relationships/chart" Target="charts/chart7.xml"/><Relationship Id="rId35" Type="http://schemas.openxmlformats.org/officeDocument/2006/relationships/diagramLayout" Target="diagrams/layout4.xml"/><Relationship Id="rId43" Type="http://schemas.openxmlformats.org/officeDocument/2006/relationships/diagramQuickStyle" Target="diagrams/quickStyle5.xml"/><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Data" Target="diagrams/data2.xml"/><Relationship Id="rId25" Type="http://schemas.openxmlformats.org/officeDocument/2006/relationships/diagramLayout" Target="diagrams/layout3.xml"/><Relationship Id="rId33" Type="http://schemas.openxmlformats.org/officeDocument/2006/relationships/chart" Target="charts/chart10.xml"/><Relationship Id="rId38" Type="http://schemas.microsoft.com/office/2007/relationships/diagramDrawing" Target="diagrams/drawing4.xml"/><Relationship Id="rId46" Type="http://schemas.openxmlformats.org/officeDocument/2006/relationships/header" Target="header1.xml"/><Relationship Id="rId20" Type="http://schemas.openxmlformats.org/officeDocument/2006/relationships/diagramColors" Target="diagrams/colors2.xml"/><Relationship Id="rId41" Type="http://schemas.openxmlformats.org/officeDocument/2006/relationships/diagramData" Target="diagrams/data5.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9.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t" anchorCtr="0"/>
          <a:lstStyle/>
          <a:p>
            <a:pPr>
              <a:defRPr sz="105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1050"/>
              <a:t>Ingresos</a:t>
            </a:r>
            <a:r>
              <a:rPr lang="es-GT" sz="1050" baseline="0"/>
              <a:t> Totales</a:t>
            </a:r>
          </a:p>
          <a:p>
            <a:pPr>
              <a:defRPr sz="1050">
                <a:solidFill>
                  <a:sysClr val="windowText" lastClr="000000"/>
                </a:solidFill>
              </a:defRPr>
            </a:pPr>
            <a:r>
              <a:rPr lang="es-GT" sz="1050" baseline="0"/>
              <a:t>Variación interanual acumulada  </a:t>
            </a:r>
          </a:p>
          <a:p>
            <a:pPr>
              <a:defRPr sz="1050">
                <a:solidFill>
                  <a:sysClr val="windowText" lastClr="000000"/>
                </a:solidFill>
              </a:defRPr>
            </a:pPr>
            <a:r>
              <a:rPr lang="es-GT" sz="1050" baseline="0"/>
              <a:t>a junio de cada año</a:t>
            </a:r>
          </a:p>
          <a:p>
            <a:pPr>
              <a:defRPr sz="1050">
                <a:solidFill>
                  <a:sysClr val="windowText" lastClr="000000"/>
                </a:solidFill>
              </a:defRPr>
            </a:pPr>
            <a:r>
              <a:rPr lang="es-GT" sz="1050" b="0" baseline="0"/>
              <a:t>En porcentajes</a:t>
            </a:r>
            <a:endParaRPr lang="es-GT" sz="1050" b="0"/>
          </a:p>
        </c:rich>
      </c:tx>
      <c:layout>
        <c:manualLayout>
          <c:xMode val="edge"/>
          <c:yMode val="edge"/>
          <c:x val="0.13991306571209408"/>
          <c:y val="0"/>
        </c:manualLayout>
      </c:layout>
      <c:overlay val="0"/>
      <c:spPr>
        <a:noFill/>
        <a:ln>
          <a:noFill/>
        </a:ln>
        <a:effectLst/>
      </c:spPr>
      <c:txPr>
        <a:bodyPr rot="0" spcFirstLastPara="1" vertOverflow="ellipsis" vert="horz" wrap="square" anchor="t" anchorCtr="0"/>
        <a:lstStyle/>
        <a:p>
          <a:pPr>
            <a:defRPr sz="105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12889488373303379"/>
          <c:y val="0.27310792973094949"/>
          <c:w val="1"/>
          <c:h val="0.54847841585107471"/>
        </c:manualLayout>
      </c:layout>
      <c:barChart>
        <c:barDir val="col"/>
        <c:grouping val="clustered"/>
        <c:varyColors val="0"/>
        <c:ser>
          <c:idx val="0"/>
          <c:order val="1"/>
          <c:tx>
            <c:strRef>
              <c:f>Hoja1!$D$1</c:f>
              <c:strCache>
                <c:ptCount val="1"/>
                <c:pt idx="0">
                  <c:v>2021</c:v>
                </c:pt>
              </c:strCache>
            </c:strRef>
          </c:tx>
          <c:spPr>
            <a:solidFill>
              <a:schemeClr val="accent6"/>
            </a:solidFill>
            <a:ln>
              <a:solidFill>
                <a:sysClr val="windowText" lastClr="000000"/>
              </a:solidFill>
            </a:ln>
            <a:effectLst>
              <a:outerShdw blurRad="50800" dist="38100" dir="18900000" algn="bl" rotWithShape="0">
                <a:prstClr val="black">
                  <a:alpha val="40000"/>
                </a:prstClr>
              </a:outerShdw>
            </a:effectLst>
          </c:spPr>
          <c:invertIfNegative val="0"/>
          <c:dLbls>
            <c:dLbl>
              <c:idx val="0"/>
              <c:layout>
                <c:manualLayout>
                  <c:x val="4.5024763619990991E-3"/>
                  <c:y val="-2.0356234096692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8E-4F11-B795-3C8DE4243CFB}"/>
                </c:ext>
              </c:extLst>
            </c:dLbl>
            <c:dLbl>
              <c:idx val="1"/>
              <c:layout>
                <c:manualLayout>
                  <c:x val="0"/>
                  <c:y val="-1.0178117048346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69-4070-A5FD-52761F3A4378}"/>
                </c:ext>
              </c:extLst>
            </c:dLbl>
            <c:dLbl>
              <c:idx val="2"/>
              <c:tx>
                <c:rich>
                  <a:bodyPr/>
                  <a:lstStyle/>
                  <a:p>
                    <a:fld id="{B70952BE-0E47-4080-9730-962434246B8C}" type="VALUE">
                      <a:rPr lang="en-US">
                        <a:solidFill>
                          <a:schemeClr val="accent6"/>
                        </a:solidFill>
                      </a:rPr>
                      <a:pPr/>
                      <a:t>[VALOR]</a:t>
                    </a:fld>
                    <a:endParaRPr lang="es-GT"/>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7DA-4CEC-AFDB-4DA9C5CBDAE3}"/>
                </c:ext>
              </c:extLst>
            </c:dLbl>
            <c:dLbl>
              <c:idx val="3"/>
              <c:layout>
                <c:manualLayout>
                  <c:x val="-4.5024763619991824E-3"/>
                  <c:y val="-9.329832848625337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7DA-4CEC-AFDB-4DA9C5CBDAE3}"/>
                </c:ext>
              </c:extLst>
            </c:dLbl>
            <c:dLbl>
              <c:idx val="4"/>
              <c:tx>
                <c:rich>
                  <a:bodyPr/>
                  <a:lstStyle/>
                  <a:p>
                    <a:fld id="{BE595BC7-DCA9-479A-871E-3B938E48F3A0}" type="VALUE">
                      <a:rPr lang="en-US">
                        <a:solidFill>
                          <a:schemeClr val="accent6"/>
                        </a:solidFill>
                      </a:rPr>
                      <a:pPr/>
                      <a:t>[VALOR]</a:t>
                    </a:fld>
                    <a:endParaRPr lang="es-GT"/>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77DA-4CEC-AFDB-4DA9C5CBDAE3}"/>
                </c:ext>
              </c:extLst>
            </c:dLbl>
            <c:dLbl>
              <c:idx val="5"/>
              <c:tx>
                <c:rich>
                  <a:bodyPr/>
                  <a:lstStyle/>
                  <a:p>
                    <a:fld id="{9DDCDE80-5BE7-4E7D-88FF-C833BCB9D083}" type="VALUE">
                      <a:rPr lang="en-US">
                        <a:solidFill>
                          <a:schemeClr val="accent6"/>
                        </a:solidFill>
                      </a:rPr>
                      <a:pPr/>
                      <a:t>[VALOR]</a:t>
                    </a:fld>
                    <a:endParaRPr lang="es-GT"/>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7DA-4CEC-AFDB-4DA9C5CBDAE3}"/>
                </c:ext>
              </c:extLst>
            </c:dLbl>
            <c:dLbl>
              <c:idx val="6"/>
              <c:tx>
                <c:rich>
                  <a:bodyPr/>
                  <a:lstStyle/>
                  <a:p>
                    <a:fld id="{2D891769-A5A5-4BD0-9B1C-58547D5E3D03}" type="VALUE">
                      <a:rPr lang="en-US">
                        <a:solidFill>
                          <a:schemeClr val="accent6"/>
                        </a:solidFill>
                      </a:rPr>
                      <a:pPr/>
                      <a:t>[VALOR]</a:t>
                    </a:fld>
                    <a:endParaRPr lang="es-GT"/>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7DA-4CEC-AFDB-4DA9C5CBDAE3}"/>
                </c:ext>
              </c:extLst>
            </c:dLbl>
            <c:dLbl>
              <c:idx val="7"/>
              <c:tx>
                <c:rich>
                  <a:bodyPr/>
                  <a:lstStyle/>
                  <a:p>
                    <a:fld id="{D55D93F5-CB79-4C89-BF5E-9AF4FE653A6C}" type="VALUE">
                      <a:rPr lang="en-US">
                        <a:solidFill>
                          <a:schemeClr val="accent6"/>
                        </a:solidFill>
                      </a:rPr>
                      <a:pPr/>
                      <a:t>[VALOR]</a:t>
                    </a:fld>
                    <a:endParaRPr lang="es-GT"/>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7DA-4CEC-AFDB-4DA9C5CBDAE3}"/>
                </c:ext>
              </c:extLst>
            </c:dLbl>
            <c:dLbl>
              <c:idx val="8"/>
              <c:tx>
                <c:rich>
                  <a:bodyPr/>
                  <a:lstStyle/>
                  <a:p>
                    <a:fld id="{A49661DA-D522-4D0D-AEC4-E447451C9457}" type="VALUE">
                      <a:rPr lang="en-US" sz="700">
                        <a:solidFill>
                          <a:schemeClr val="accent6"/>
                        </a:solidFill>
                      </a:rPr>
                      <a:pPr/>
                      <a:t>[VALOR]</a:t>
                    </a:fld>
                    <a:endParaRPr lang="es-GT"/>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7DA-4CEC-AFDB-4DA9C5CBDAE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Enero</c:v>
                </c:pt>
                <c:pt idx="1">
                  <c:v>Febrero</c:v>
                </c:pt>
                <c:pt idx="2">
                  <c:v>Marzo</c:v>
                </c:pt>
                <c:pt idx="3">
                  <c:v>Abril</c:v>
                </c:pt>
                <c:pt idx="4">
                  <c:v>Mayo</c:v>
                </c:pt>
                <c:pt idx="5">
                  <c:v>Junio</c:v>
                </c:pt>
              </c:strCache>
            </c:strRef>
          </c:cat>
          <c:val>
            <c:numRef>
              <c:f>Hoja1!$D$2:$D$7</c:f>
              <c:numCache>
                <c:formatCode>#,##0.0_ ;[Red]\-#,##0.0\ </c:formatCode>
                <c:ptCount val="6"/>
                <c:pt idx="0">
                  <c:v>4.0556198030071489</c:v>
                </c:pt>
                <c:pt idx="1">
                  <c:v>6.0273892274479435</c:v>
                </c:pt>
                <c:pt idx="2">
                  <c:v>20.626364253850738</c:v>
                </c:pt>
                <c:pt idx="3">
                  <c:v>17.995321511269637</c:v>
                </c:pt>
                <c:pt idx="4">
                  <c:v>22.171079838813856</c:v>
                </c:pt>
                <c:pt idx="5">
                  <c:v>24.517077117569563</c:v>
                </c:pt>
              </c:numCache>
            </c:numRef>
          </c:val>
          <c:extLst>
            <c:ext xmlns:c16="http://schemas.microsoft.com/office/drawing/2014/chart" uri="{C3380CC4-5D6E-409C-BE32-E72D297353CC}">
              <c16:uniqueId val="{00000001-E2D9-4984-901D-E1114F265272}"/>
            </c:ext>
          </c:extLst>
        </c:ser>
        <c:ser>
          <c:idx val="1"/>
          <c:order val="2"/>
          <c:tx>
            <c:strRef>
              <c:f>Hoja1!$C$1</c:f>
              <c:strCache>
                <c:ptCount val="1"/>
                <c:pt idx="0">
                  <c:v>2022</c:v>
                </c:pt>
              </c:strCache>
            </c:strRef>
          </c:tx>
          <c:spPr>
            <a:solidFill>
              <a:schemeClr val="accent5"/>
            </a:solidFill>
            <a:ln>
              <a:solidFill>
                <a:sysClr val="windowText" lastClr="000000"/>
              </a:solidFill>
            </a:ln>
            <a:effectLst>
              <a:outerShdw blurRad="50800" dist="38100" dir="18900000" algn="bl" rotWithShape="0">
                <a:prstClr val="black">
                  <a:alpha val="40000"/>
                </a:prstClr>
              </a:outerShdw>
            </a:effectLst>
          </c:spPr>
          <c:invertIfNegative val="0"/>
          <c:dLbls>
            <c:dLbl>
              <c:idx val="0"/>
              <c:layout>
                <c:manualLayout>
                  <c:x val="9.004952723998198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DA-4CEC-AFDB-4DA9C5CBDAE3}"/>
                </c:ext>
              </c:extLst>
            </c:dLbl>
            <c:dLbl>
              <c:idx val="1"/>
              <c:layout>
                <c:manualLayout>
                  <c:x val="7.1827801516148523E-3"/>
                  <c:y val="-2.80893886273505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8E-4F11-B795-3C8DE4243CFB}"/>
                </c:ext>
              </c:extLst>
            </c:dLbl>
            <c:dLbl>
              <c:idx val="2"/>
              <c:layout>
                <c:manualLayout>
                  <c:x val="2.1654395842355999E-3"/>
                  <c:y val="-2.3449623541582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7DA-4CEC-AFDB-4DA9C5CBDAE3}"/>
                </c:ext>
              </c:extLst>
            </c:dLbl>
            <c:dLbl>
              <c:idx val="3"/>
              <c:layout>
                <c:manualLayout>
                  <c:x val="4.8239266763145201E-3"/>
                  <c:y val="-1.1476932109329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8E-4F11-B795-3C8DE4243CFB}"/>
                </c:ext>
              </c:extLst>
            </c:dLbl>
            <c:dLbl>
              <c:idx val="4"/>
              <c:layout>
                <c:manualLayout>
                  <c:x val="4.8239266763145201E-3"/>
                  <c:y val="-6.25368189615405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4A-4036-9CA9-4FEE2D543697}"/>
                </c:ext>
              </c:extLst>
            </c:dLbl>
            <c:dLbl>
              <c:idx val="5"/>
              <c:layout>
                <c:manualLayout>
                  <c:x val="9.6478533526290402E-3"/>
                  <c:y val="-6.63550076783136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4A-4036-9CA9-4FEE2D543697}"/>
                </c:ext>
              </c:extLst>
            </c:dLbl>
            <c:dLbl>
              <c:idx val="6"/>
              <c:layout>
                <c:manualLayout>
                  <c:x val="0"/>
                  <c:y val="1.3271400132714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56-43FC-A646-87823658FB37}"/>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Enero</c:v>
                </c:pt>
                <c:pt idx="1">
                  <c:v>Febrero</c:v>
                </c:pt>
                <c:pt idx="2">
                  <c:v>Marzo</c:v>
                </c:pt>
                <c:pt idx="3">
                  <c:v>Abril</c:v>
                </c:pt>
                <c:pt idx="4">
                  <c:v>Mayo</c:v>
                </c:pt>
                <c:pt idx="5">
                  <c:v>Junio</c:v>
                </c:pt>
              </c:strCache>
            </c:strRef>
          </c:cat>
          <c:val>
            <c:numRef>
              <c:f>Hoja1!$C$2:$C$7</c:f>
              <c:numCache>
                <c:formatCode>#,##0.0_ ;[Red]\-#,##0.0\ </c:formatCode>
                <c:ptCount val="6"/>
                <c:pt idx="0">
                  <c:v>12.457251920072764</c:v>
                </c:pt>
                <c:pt idx="1">
                  <c:v>11.380928044627868</c:v>
                </c:pt>
                <c:pt idx="2">
                  <c:v>14.994842687470534</c:v>
                </c:pt>
                <c:pt idx="3">
                  <c:v>15.769503519500994</c:v>
                </c:pt>
                <c:pt idx="4">
                  <c:v>15.92568739989002</c:v>
                </c:pt>
                <c:pt idx="5">
                  <c:v>16.494124204460615</c:v>
                </c:pt>
              </c:numCache>
            </c:numRef>
          </c:val>
          <c:extLst>
            <c:ext xmlns:c16="http://schemas.microsoft.com/office/drawing/2014/chart" uri="{C3380CC4-5D6E-409C-BE32-E72D297353CC}">
              <c16:uniqueId val="{00000000-E2D9-4984-901D-E1114F265272}"/>
            </c:ext>
          </c:extLst>
        </c:ser>
        <c:dLbls>
          <c:showLegendKey val="0"/>
          <c:showVal val="0"/>
          <c:showCatName val="0"/>
          <c:showSerName val="0"/>
          <c:showPercent val="0"/>
          <c:showBubbleSize val="0"/>
        </c:dLbls>
        <c:gapWidth val="150"/>
        <c:axId val="1509281743"/>
        <c:axId val="344873055"/>
      </c:barChart>
      <c:lineChart>
        <c:grouping val="standard"/>
        <c:varyColors val="0"/>
        <c:ser>
          <c:idx val="2"/>
          <c:order val="0"/>
          <c:tx>
            <c:strRef>
              <c:f>Hoja1!$B$1</c:f>
              <c:strCache>
                <c:ptCount val="1"/>
                <c:pt idx="0">
                  <c:v>2023*</c:v>
                </c:pt>
              </c:strCache>
            </c:strRef>
          </c:tx>
          <c:spPr>
            <a:ln w="25400" cap="rnd">
              <a:solidFill>
                <a:schemeClr val="accent4"/>
              </a:solidFill>
              <a:round/>
              <a:tailEnd type="triangle"/>
            </a:ln>
            <a:effectLst>
              <a:outerShdw blurRad="50800" dist="38100" dir="18900000" algn="bl" rotWithShape="0">
                <a:prstClr val="black">
                  <a:alpha val="40000"/>
                </a:prstClr>
              </a:outerShdw>
            </a:effectLst>
          </c:spPr>
          <c:marker>
            <c:symbol val="diamond"/>
            <c:size val="7"/>
            <c:spPr>
              <a:solidFill>
                <a:schemeClr val="lt1"/>
              </a:solidFill>
              <a:ln w="15875">
                <a:solidFill>
                  <a:schemeClr val="accent4"/>
                </a:solidFill>
                <a:round/>
              </a:ln>
              <a:effectLst/>
            </c:spPr>
          </c:marker>
          <c:dLbls>
            <c:dLbl>
              <c:idx val="0"/>
              <c:layout>
                <c:manualLayout>
                  <c:x val="-5.4774220309359148E-2"/>
                  <c:y val="-9.01853298871992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8F-4D19-9CDB-2A18BD344173}"/>
                </c:ext>
              </c:extLst>
            </c:dLbl>
            <c:dLbl>
              <c:idx val="1"/>
              <c:layout>
                <c:manualLayout>
                  <c:x val="-6.0788693019740117E-2"/>
                  <c:y val="-0.108200918202495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8F-4D19-9CDB-2A18BD344173}"/>
                </c:ext>
              </c:extLst>
            </c:dLbl>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sz="6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Enero</c:v>
                </c:pt>
                <c:pt idx="1">
                  <c:v>Febrero</c:v>
                </c:pt>
                <c:pt idx="2">
                  <c:v>Marzo</c:v>
                </c:pt>
                <c:pt idx="3">
                  <c:v>Abril</c:v>
                </c:pt>
                <c:pt idx="4">
                  <c:v>Mayo</c:v>
                </c:pt>
                <c:pt idx="5">
                  <c:v>Junio</c:v>
                </c:pt>
              </c:strCache>
            </c:strRef>
          </c:cat>
          <c:val>
            <c:numRef>
              <c:f>Hoja1!$B$2:$B$7</c:f>
              <c:numCache>
                <c:formatCode>#,##0.0_ ;[Red]\-#,##0.0\ </c:formatCode>
                <c:ptCount val="6"/>
                <c:pt idx="0">
                  <c:v>13.375573924391638</c:v>
                </c:pt>
                <c:pt idx="1">
                  <c:v>12.357510047916943</c:v>
                </c:pt>
                <c:pt idx="2">
                  <c:v>11.870580420869569</c:v>
                </c:pt>
                <c:pt idx="3">
                  <c:v>10.380780916946453</c:v>
                </c:pt>
                <c:pt idx="4">
                  <c:v>10.452834367647412</c:v>
                </c:pt>
                <c:pt idx="5">
                  <c:v>9.8336302842967793</c:v>
                </c:pt>
              </c:numCache>
            </c:numRef>
          </c:val>
          <c:smooth val="1"/>
          <c:extLst>
            <c:ext xmlns:c16="http://schemas.microsoft.com/office/drawing/2014/chart" uri="{C3380CC4-5D6E-409C-BE32-E72D297353CC}">
              <c16:uniqueId val="{00000005-E2D9-4984-901D-E1114F265272}"/>
            </c:ext>
          </c:extLst>
        </c:ser>
        <c:dLbls>
          <c:showLegendKey val="0"/>
          <c:showVal val="0"/>
          <c:showCatName val="0"/>
          <c:showSerName val="0"/>
          <c:showPercent val="0"/>
          <c:showBubbleSize val="0"/>
        </c:dLbls>
        <c:marker val="1"/>
        <c:smooth val="0"/>
        <c:axId val="1509281743"/>
        <c:axId val="344873055"/>
      </c:lineChart>
      <c:catAx>
        <c:axId val="1509281743"/>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44873055"/>
        <c:crosses val="autoZero"/>
        <c:auto val="1"/>
        <c:lblAlgn val="ctr"/>
        <c:lblOffset val="100"/>
        <c:noMultiLvlLbl val="0"/>
      </c:catAx>
      <c:valAx>
        <c:axId val="344873055"/>
        <c:scaling>
          <c:orientation val="minMax"/>
        </c:scaling>
        <c:delete val="1"/>
        <c:axPos val="l"/>
        <c:majorGridlines>
          <c:spPr>
            <a:ln w="9525" cap="flat" cmpd="sng" algn="ctr">
              <a:solidFill>
                <a:schemeClr val="dk1">
                  <a:lumMod val="15000"/>
                  <a:lumOff val="85000"/>
                  <a:alpha val="54000"/>
                </a:schemeClr>
              </a:solidFill>
              <a:round/>
            </a:ln>
            <a:effectLst/>
          </c:spPr>
        </c:majorGridlines>
        <c:numFmt formatCode="#,##0_ ;[Red]\-#,##0\ " sourceLinked="0"/>
        <c:majorTickMark val="out"/>
        <c:minorTickMark val="none"/>
        <c:tickLblPos val="nextTo"/>
        <c:crossAx val="1509281743"/>
        <c:crosses val="autoZero"/>
        <c:crossBetween val="between"/>
      </c:valAx>
      <c:spPr>
        <a:pattFill prst="ltDnDiag">
          <a:fgClr>
            <a:schemeClr val="dk1">
              <a:lumMod val="15000"/>
              <a:lumOff val="85000"/>
            </a:schemeClr>
          </a:fgClr>
          <a:bgClr>
            <a:schemeClr val="lt1"/>
          </a:bgClr>
        </a:pattFill>
        <a:ln>
          <a:noFill/>
        </a:ln>
        <a:effectLst/>
      </c:spPr>
    </c:plotArea>
    <c:legend>
      <c:legendPos val="t"/>
      <c:layout>
        <c:manualLayout>
          <c:xMode val="edge"/>
          <c:yMode val="edge"/>
          <c:x val="0"/>
          <c:y val="0.90906400458502157"/>
          <c:w val="0.63984449483611938"/>
          <c:h val="8.040482385808800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s-GT" sz="900"/>
              <a:t>Por tipo de Instrumento</a:t>
            </a:r>
          </a:p>
          <a:p>
            <a:pPr>
              <a:defRPr sz="900" b="1">
                <a:solidFill>
                  <a:schemeClr val="tx1"/>
                </a:solidFill>
              </a:defRPr>
            </a:pPr>
            <a:r>
              <a:rPr lang="es-GT" sz="900"/>
              <a:t>Cifra acumulada</a:t>
            </a:r>
          </a:p>
        </c:rich>
      </c:tx>
      <c:layout>
        <c:manualLayout>
          <c:xMode val="edge"/>
          <c:yMode val="edge"/>
          <c:x val="0.24247808794645748"/>
          <c:y val="4.4535929071858145E-3"/>
        </c:manualLayout>
      </c:layout>
      <c:overlay val="0"/>
      <c:spPr>
        <a:noFill/>
        <a:ln>
          <a:noFill/>
        </a:ln>
        <a:effectLst/>
      </c:spPr>
      <c:txPr>
        <a:bodyPr rot="0" spcFirstLastPara="1" vertOverflow="ellipsis" vert="horz" wrap="square" anchor="ctr" anchorCtr="1"/>
        <a:lstStyle/>
        <a:p>
          <a:pPr>
            <a:defRPr sz="9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43895438996051417"/>
          <c:y val="0.1666148629860906"/>
          <c:w val="0.42244741697619359"/>
          <c:h val="0.72748490616061445"/>
        </c:manualLayout>
      </c:layout>
      <c:barChart>
        <c:barDir val="bar"/>
        <c:grouping val="clustered"/>
        <c:varyColors val="1"/>
        <c:ser>
          <c:idx val="0"/>
          <c:order val="0"/>
          <c:tx>
            <c:strRef>
              <c:f>Hoja1!$B$1</c:f>
              <c:strCache>
                <c:ptCount val="1"/>
                <c:pt idx="0">
                  <c:v>Serie 1</c:v>
                </c:pt>
              </c:strCache>
            </c:strRef>
          </c:tx>
          <c:spPr>
            <a:solidFill>
              <a:srgbClr val="FF0000"/>
            </a:solidFill>
            <a:ln w="15875">
              <a:solidFill>
                <a:sysClr val="windowText" lastClr="000000"/>
              </a:solidFill>
            </a:ln>
          </c:spPr>
          <c:invertIfNegative val="0"/>
          <c:dPt>
            <c:idx val="0"/>
            <c:invertIfNegative val="0"/>
            <c:bubble3D val="0"/>
            <c:spPr>
              <a:solidFill>
                <a:srgbClr val="FF0000"/>
              </a:solidFill>
              <a:ln w="15875">
                <a:solidFill>
                  <a:sysClr val="windowText" lastClr="000000"/>
                </a:solidFill>
              </a:ln>
              <a:effectLst/>
            </c:spPr>
            <c:extLst>
              <c:ext xmlns:c16="http://schemas.microsoft.com/office/drawing/2014/chart" uri="{C3380CC4-5D6E-409C-BE32-E72D297353CC}">
                <c16:uniqueId val="{00000001-6561-4004-9F39-C4307818C6BC}"/>
              </c:ext>
            </c:extLst>
          </c:dPt>
          <c:dPt>
            <c:idx val="1"/>
            <c:invertIfNegative val="0"/>
            <c:bubble3D val="0"/>
            <c:spPr>
              <a:solidFill>
                <a:srgbClr val="9BBB59"/>
              </a:solidFill>
              <a:ln w="15875">
                <a:solidFill>
                  <a:sysClr val="windowText" lastClr="000000"/>
                </a:solidFill>
              </a:ln>
              <a:effectLst/>
            </c:spPr>
            <c:extLst>
              <c:ext xmlns:c16="http://schemas.microsoft.com/office/drawing/2014/chart" uri="{C3380CC4-5D6E-409C-BE32-E72D297353CC}">
                <c16:uniqueId val="{00000003-6561-4004-9F39-C4307818C6BC}"/>
              </c:ext>
            </c:extLst>
          </c:dPt>
          <c:dPt>
            <c:idx val="2"/>
            <c:invertIfNegative val="0"/>
            <c:bubble3D val="0"/>
            <c:spPr>
              <a:solidFill>
                <a:srgbClr val="9BBB59"/>
              </a:solidFill>
              <a:ln w="15875">
                <a:solidFill>
                  <a:sysClr val="windowText" lastClr="000000"/>
                </a:solidFill>
              </a:ln>
              <a:effectLst/>
            </c:spPr>
            <c:extLst>
              <c:ext xmlns:c16="http://schemas.microsoft.com/office/drawing/2014/chart" uri="{C3380CC4-5D6E-409C-BE32-E72D297353CC}">
                <c16:uniqueId val="{00000005-6561-4004-9F39-C4307818C6BC}"/>
              </c:ext>
            </c:extLst>
          </c:dPt>
          <c:dLbls>
            <c:dLbl>
              <c:idx val="0"/>
              <c:spPr>
                <a:noFill/>
                <a:ln>
                  <a:noFill/>
                </a:ln>
                <a:effectLst/>
              </c:spPr>
              <c:txPr>
                <a:bodyPr rot="0" spcFirstLastPara="1" vertOverflow="ellipsis" vert="horz" wrap="square" anchor="ctr" anchorCtr="1"/>
                <a:lstStyle/>
                <a:p>
                  <a:pPr>
                    <a:defRPr sz="8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6="http://schemas.microsoft.com/office/drawing/2014/chart" uri="{C3380CC4-5D6E-409C-BE32-E72D297353CC}">
                  <c16:uniqueId val="{00000001-6561-4004-9F39-C4307818C6BC}"/>
                </c:ext>
              </c:extLst>
            </c:dLbl>
            <c:dLbl>
              <c:idx val="1"/>
              <c:spPr>
                <a:noFill/>
                <a:ln>
                  <a:noFill/>
                </a:ln>
                <a:effectLst/>
              </c:spPr>
              <c:txPr>
                <a:bodyPr rot="0" spcFirstLastPara="1" vertOverflow="ellipsis" vert="horz" wrap="square" anchor="ctr" anchorCtr="1"/>
                <a:lstStyle/>
                <a:p>
                  <a:pPr>
                    <a:defRPr sz="800" b="0"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6="http://schemas.microsoft.com/office/drawing/2014/chart" uri="{C3380CC4-5D6E-409C-BE32-E72D297353CC}">
                  <c16:uniqueId val="{00000003-6561-4004-9F39-C4307818C6BC}"/>
                </c:ext>
              </c:extLst>
            </c:dLbl>
            <c:dLbl>
              <c:idx val="2"/>
              <c:spPr>
                <a:noFill/>
                <a:ln>
                  <a:noFill/>
                </a:ln>
                <a:effectLst/>
              </c:spPr>
              <c:txPr>
                <a:bodyPr rot="0" spcFirstLastPara="1" vertOverflow="ellipsis" vert="horz" wrap="square" anchor="ctr" anchorCtr="1"/>
                <a:lstStyle/>
                <a:p>
                  <a:pPr>
                    <a:defRPr sz="800" b="0"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6="http://schemas.microsoft.com/office/drawing/2014/chart" uri="{C3380CC4-5D6E-409C-BE32-E72D297353CC}">
                  <c16:uniqueId val="{00000005-6561-4004-9F39-C4307818C6BC}"/>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Títulos de deuda</c:v>
                </c:pt>
                <c:pt idx="1">
                  <c:v>Préstamos</c:v>
                </c:pt>
                <c:pt idx="2">
                  <c:v>Otras cuentas por pagar</c:v>
                </c:pt>
              </c:strCache>
            </c:strRef>
          </c:cat>
          <c:val>
            <c:numRef>
              <c:f>Hoja1!$B$2:$B$4</c:f>
              <c:numCache>
                <c:formatCode>_-* #,##0.0_-;\-* #,##0.0_-;_-* "-"??_-;_-@_-</c:formatCode>
                <c:ptCount val="3"/>
                <c:pt idx="0">
                  <c:v>5822.7608849799999</c:v>
                </c:pt>
                <c:pt idx="1">
                  <c:v>-850.40792654999996</c:v>
                </c:pt>
                <c:pt idx="2">
                  <c:v>-40.010224440000002</c:v>
                </c:pt>
              </c:numCache>
            </c:numRef>
          </c:val>
          <c:extLst>
            <c:ext xmlns:c16="http://schemas.microsoft.com/office/drawing/2014/chart" uri="{C3380CC4-5D6E-409C-BE32-E72D297353CC}">
              <c16:uniqueId val="{00000006-6561-4004-9F39-C4307818C6BC}"/>
            </c:ext>
          </c:extLst>
        </c:ser>
        <c:dLbls>
          <c:dLblPos val="inEnd"/>
          <c:showLegendKey val="0"/>
          <c:showVal val="1"/>
          <c:showCatName val="0"/>
          <c:showSerName val="0"/>
          <c:showPercent val="0"/>
          <c:showBubbleSize val="0"/>
        </c:dLbls>
        <c:gapWidth val="119"/>
        <c:overlap val="-48"/>
        <c:axId val="152972768"/>
        <c:axId val="152984368"/>
      </c:barChart>
      <c:catAx>
        <c:axId val="15297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8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152984368"/>
        <c:crosses val="autoZero"/>
        <c:auto val="1"/>
        <c:lblAlgn val="ctr"/>
        <c:lblOffset val="100"/>
        <c:noMultiLvlLbl val="0"/>
      </c:catAx>
      <c:valAx>
        <c:axId val="152984368"/>
        <c:scaling>
          <c:orientation val="minMax"/>
          <c:min val="-5000"/>
        </c:scaling>
        <c:delete val="0"/>
        <c:axPos val="b"/>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2972768"/>
        <c:crosses val="autoZero"/>
        <c:crossBetween val="between"/>
        <c:minorUnit val="600"/>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1200" b="1" i="0" baseline="0">
                <a:effectLst/>
              </a:rPr>
              <a:t>Erogaciones por Función del Gobierno</a:t>
            </a:r>
            <a:endParaRPr lang="es-GT" sz="1200">
              <a:effectLst/>
            </a:endParaRPr>
          </a:p>
          <a:p>
            <a:pPr>
              <a:defRPr sz="1200">
                <a:solidFill>
                  <a:sysClr val="windowText" lastClr="000000"/>
                </a:solidFill>
              </a:defRPr>
            </a:pPr>
            <a:r>
              <a:rPr lang="es-GT" sz="1100" b="1" i="0" baseline="0">
                <a:effectLst/>
              </a:rPr>
              <a:t>Variaciones interanuales acumuladas a junio de cada año </a:t>
            </a:r>
            <a:endParaRPr lang="es-GT" sz="1100">
              <a:effectLst/>
            </a:endParaRPr>
          </a:p>
          <a:p>
            <a:pPr>
              <a:defRPr sz="1200">
                <a:solidFill>
                  <a:sysClr val="windowText" lastClr="000000"/>
                </a:solidFill>
              </a:defRPr>
            </a:pPr>
            <a:r>
              <a:rPr lang="es-GT" sz="1000" b="0" i="0" baseline="0">
                <a:effectLst/>
              </a:rPr>
              <a:t>En millones de quetzales</a:t>
            </a:r>
            <a:endParaRPr lang="es-GT" sz="1000">
              <a:effectLst/>
            </a:endParaRPr>
          </a:p>
        </c:rich>
      </c:tx>
      <c:layout>
        <c:manualLayout>
          <c:xMode val="edge"/>
          <c:yMode val="edge"/>
          <c:x val="0.15600947645293534"/>
          <c:y val="0"/>
        </c:manualLayout>
      </c:layout>
      <c:overlay val="0"/>
      <c:spPr>
        <a:noFill/>
        <a:ln>
          <a:noFill/>
        </a:ln>
        <a:effectLst/>
      </c:spPr>
      <c:txPr>
        <a:bodyPr rot="0" spcFirstLastPara="1" vertOverflow="ellipsis" vert="horz"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32780253795046432"/>
          <c:y val="0.15638337376502637"/>
          <c:w val="0.68935531496062996"/>
          <c:h val="0.74964451732690041"/>
        </c:manualLayout>
      </c:layout>
      <c:barChart>
        <c:barDir val="bar"/>
        <c:grouping val="clustered"/>
        <c:varyColors val="0"/>
        <c:ser>
          <c:idx val="0"/>
          <c:order val="0"/>
          <c:tx>
            <c:strRef>
              <c:f>Hoja1!$B$1</c:f>
              <c:strCache>
                <c:ptCount val="1"/>
                <c:pt idx="0">
                  <c:v>2023*</c:v>
                </c:pt>
              </c:strCache>
            </c:strRef>
          </c:tx>
          <c:spPr>
            <a:solidFill>
              <a:schemeClr val="accent1"/>
            </a:solidFill>
            <a:ln>
              <a:solidFill>
                <a:sysClr val="windowText" lastClr="000000"/>
              </a:solidFill>
            </a:ln>
            <a:effectLst>
              <a:outerShdw blurRad="50800" dist="38100" dir="18900000" algn="bl" rotWithShape="0">
                <a:prstClr val="black">
                  <a:alpha val="40000"/>
                </a:prstClr>
              </a:outerShdw>
            </a:effectLst>
          </c:spPr>
          <c:invertIfNegative val="0"/>
          <c:dLbls>
            <c:dLbl>
              <c:idx val="0"/>
              <c:layout>
                <c:manualLayout>
                  <c:x val="0"/>
                  <c:y val="-3.56362600682854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D1-4755-ACDE-69CE0C6C75B8}"/>
                </c:ext>
              </c:extLst>
            </c:dLbl>
            <c:dLbl>
              <c:idx val="2"/>
              <c:layout>
                <c:manualLayout>
                  <c:x val="-1.5692806802952098E-16"/>
                  <c:y val="-2.00336920212777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D1-4755-ACDE-69CE0C6C75B8}"/>
                </c:ext>
              </c:extLst>
            </c:dLbl>
            <c:dLbl>
              <c:idx val="3"/>
              <c:layout>
                <c:manualLayout>
                  <c:x val="0"/>
                  <c:y val="1.91703309813546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D1-4755-ACDE-69CE0C6C75B8}"/>
                </c:ext>
              </c:extLst>
            </c:dLbl>
            <c:dLbl>
              <c:idx val="8"/>
              <c:layout>
                <c:manualLayout>
                  <c:x val="-7.846403401476049E-17"/>
                  <c:y val="9.59232613908872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D1-4755-ACDE-69CE0C6C75B8}"/>
                </c:ext>
              </c:extLst>
            </c:dLbl>
            <c:dLbl>
              <c:idx val="9"/>
              <c:layout>
                <c:manualLayout>
                  <c:x val="-6.9443999791059712E-3"/>
                  <c:y val="9.59232613908872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D1-4755-ACDE-69CE0C6C75B8}"/>
                </c:ext>
              </c:extLst>
            </c:dLbl>
            <c:numFmt formatCode="#,##0.0" sourceLinked="0"/>
            <c:spPr>
              <a:noFill/>
              <a:ln>
                <a:noFill/>
              </a:ln>
              <a:effectLst/>
            </c:spPr>
            <c:txPr>
              <a:bodyPr rot="0" spcFirstLastPara="1" vertOverflow="ellipsis" vert="horz" wrap="square" anchor="ctr" anchorCtr="1"/>
              <a:lstStyle/>
              <a:p>
                <a:pPr>
                  <a:defRPr sz="6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Hoja1!$A$2:$A$11</c:f>
              <c:strCache>
                <c:ptCount val="10"/>
                <c:pt idx="0">
                  <c:v>Protección social </c:v>
                </c:pt>
                <c:pt idx="1">
                  <c:v>Servicios públicos generales </c:v>
                </c:pt>
                <c:pt idx="2">
                  <c:v>Educación </c:v>
                </c:pt>
                <c:pt idx="3">
                  <c:v>Asuntos económicos </c:v>
                </c:pt>
                <c:pt idx="4">
                  <c:v>Vivienda y servicios comunitarios </c:v>
                </c:pt>
                <c:pt idx="5">
                  <c:v>Orden público y seguridad </c:v>
                </c:pt>
                <c:pt idx="6">
                  <c:v>Actividades recreativas, cultura y religión </c:v>
                </c:pt>
                <c:pt idx="7">
                  <c:v>Protección del medio ambiente </c:v>
                </c:pt>
                <c:pt idx="8">
                  <c:v>Defensa </c:v>
                </c:pt>
                <c:pt idx="9">
                  <c:v>Salud </c:v>
                </c:pt>
              </c:strCache>
            </c:strRef>
          </c:cat>
          <c:val>
            <c:numRef>
              <c:f>Hoja1!$B$2:$B$11</c:f>
              <c:numCache>
                <c:formatCode>_(* #,##0.00_);_(* \(#,##0.00\);_(* "-"??_);_(@_)</c:formatCode>
                <c:ptCount val="10"/>
                <c:pt idx="0">
                  <c:v>1809.9788373299998</c:v>
                </c:pt>
                <c:pt idx="1">
                  <c:v>1709.5723931100001</c:v>
                </c:pt>
                <c:pt idx="2">
                  <c:v>1678.4483926100002</c:v>
                </c:pt>
                <c:pt idx="3">
                  <c:v>1343.2609717299983</c:v>
                </c:pt>
                <c:pt idx="4">
                  <c:v>844.60152732999995</c:v>
                </c:pt>
                <c:pt idx="5">
                  <c:v>795.59077110999988</c:v>
                </c:pt>
                <c:pt idx="6">
                  <c:v>237.17567494999992</c:v>
                </c:pt>
                <c:pt idx="7">
                  <c:v>108.26597350999998</c:v>
                </c:pt>
                <c:pt idx="8">
                  <c:v>-127.90966060999983</c:v>
                </c:pt>
                <c:pt idx="9">
                  <c:v>-373.01172128999951</c:v>
                </c:pt>
              </c:numCache>
            </c:numRef>
          </c:val>
          <c:extLst>
            <c:ext xmlns:c16="http://schemas.microsoft.com/office/drawing/2014/chart" uri="{C3380CC4-5D6E-409C-BE32-E72D297353CC}">
              <c16:uniqueId val="{00000005-94D1-4755-ACDE-69CE0C6C75B8}"/>
            </c:ext>
          </c:extLst>
        </c:ser>
        <c:ser>
          <c:idx val="1"/>
          <c:order val="1"/>
          <c:tx>
            <c:strRef>
              <c:f>Hoja1!$C$1</c:f>
              <c:strCache>
                <c:ptCount val="1"/>
                <c:pt idx="0">
                  <c:v>2022</c:v>
                </c:pt>
              </c:strCache>
            </c:strRef>
          </c:tx>
          <c:spPr>
            <a:solidFill>
              <a:schemeClr val="accent2"/>
            </a:solidFill>
            <a:ln>
              <a:solidFill>
                <a:sysClr val="windowText" lastClr="000000"/>
              </a:solidFill>
            </a:ln>
            <a:effectLst>
              <a:outerShdw blurRad="50800" dist="38100" dir="18900000" algn="bl" rotWithShape="0">
                <a:prstClr val="black">
                  <a:alpha val="40000"/>
                </a:prstClr>
              </a:outerShdw>
            </a:effectLst>
          </c:spPr>
          <c:invertIfNegative val="0"/>
          <c:dLbls>
            <c:dLbl>
              <c:idx val="1"/>
              <c:layout>
                <c:manualLayout>
                  <c:x val="0"/>
                  <c:y val="-4.41111601235128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D1-4755-ACDE-69CE0C6C75B8}"/>
                </c:ext>
              </c:extLst>
            </c:dLbl>
            <c:dLbl>
              <c:idx val="2"/>
              <c:layout>
                <c:manualLayout>
                  <c:x val="0"/>
                  <c:y val="-1.12454315434354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D1-4755-ACDE-69CE0C6C75B8}"/>
                </c:ext>
              </c:extLst>
            </c:dLbl>
            <c:dLbl>
              <c:idx val="3"/>
              <c:layout>
                <c:manualLayout>
                  <c:x val="-7.846403401476049E-17"/>
                  <c:y val="-5.62271577171784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4D1-4755-ACDE-69CE0C6C75B8}"/>
                </c:ext>
              </c:extLst>
            </c:dLbl>
            <c:dLbl>
              <c:idx val="4"/>
              <c:layout>
                <c:manualLayout>
                  <c:x val="-1.5692806802952098E-16"/>
                  <c:y val="-8.43407365757671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4D1-4755-ACDE-69CE0C6C75B8}"/>
                </c:ext>
              </c:extLst>
            </c:dLbl>
            <c:dLbl>
              <c:idx val="5"/>
              <c:layout>
                <c:manualLayout>
                  <c:x val="-7.846403401476049E-17"/>
                  <c:y val="-1.73160173160173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4D1-4755-ACDE-69CE0C6C75B8}"/>
                </c:ext>
              </c:extLst>
            </c:dLbl>
            <c:numFmt formatCode="#,##0.0" sourceLinked="0"/>
            <c:spPr>
              <a:noFill/>
              <a:ln>
                <a:noFill/>
              </a:ln>
              <a:effectLst/>
            </c:spPr>
            <c:txPr>
              <a:bodyPr rot="0" spcFirstLastPara="1" vertOverflow="ellipsis" vert="horz" wrap="square" anchor="ctr" anchorCtr="1"/>
              <a:lstStyle/>
              <a:p>
                <a:pPr>
                  <a:defRPr sz="600" b="0"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Hoja1!$A$2:$A$11</c:f>
              <c:strCache>
                <c:ptCount val="10"/>
                <c:pt idx="0">
                  <c:v>Protección social </c:v>
                </c:pt>
                <c:pt idx="1">
                  <c:v>Servicios públicos generales </c:v>
                </c:pt>
                <c:pt idx="2">
                  <c:v>Educación </c:v>
                </c:pt>
                <c:pt idx="3">
                  <c:v>Asuntos económicos </c:v>
                </c:pt>
                <c:pt idx="4">
                  <c:v>Vivienda y servicios comunitarios </c:v>
                </c:pt>
                <c:pt idx="5">
                  <c:v>Orden público y seguridad </c:v>
                </c:pt>
                <c:pt idx="6">
                  <c:v>Actividades recreativas, cultura y religión </c:v>
                </c:pt>
                <c:pt idx="7">
                  <c:v>Protección del medio ambiente </c:v>
                </c:pt>
                <c:pt idx="8">
                  <c:v>Defensa </c:v>
                </c:pt>
                <c:pt idx="9">
                  <c:v>Salud </c:v>
                </c:pt>
              </c:strCache>
            </c:strRef>
          </c:cat>
          <c:val>
            <c:numRef>
              <c:f>Hoja1!$C$2:$C$11</c:f>
              <c:numCache>
                <c:formatCode>_(* #,##0.00_);_(* \(#,##0.00\);_(* "-"??_);_(@_)</c:formatCode>
                <c:ptCount val="10"/>
                <c:pt idx="0">
                  <c:v>385.71154663000016</c:v>
                </c:pt>
                <c:pt idx="1">
                  <c:v>436.96900709999863</c:v>
                </c:pt>
                <c:pt idx="2">
                  <c:v>1438.6577427400007</c:v>
                </c:pt>
                <c:pt idx="3">
                  <c:v>1484.2350918400011</c:v>
                </c:pt>
                <c:pt idx="4">
                  <c:v>703.29922809000027</c:v>
                </c:pt>
                <c:pt idx="5">
                  <c:v>748.85470010000063</c:v>
                </c:pt>
                <c:pt idx="6">
                  <c:v>38.643602740000063</c:v>
                </c:pt>
                <c:pt idx="7">
                  <c:v>88.643083970000021</c:v>
                </c:pt>
                <c:pt idx="8">
                  <c:v>316.59714262999978</c:v>
                </c:pt>
                <c:pt idx="9">
                  <c:v>466.53317637999862</c:v>
                </c:pt>
              </c:numCache>
            </c:numRef>
          </c:val>
          <c:extLst>
            <c:ext xmlns:c16="http://schemas.microsoft.com/office/drawing/2014/chart" uri="{C3380CC4-5D6E-409C-BE32-E72D297353CC}">
              <c16:uniqueId val="{0000000B-94D1-4755-ACDE-69CE0C6C75B8}"/>
            </c:ext>
          </c:extLst>
        </c:ser>
        <c:dLbls>
          <c:showLegendKey val="0"/>
          <c:showVal val="0"/>
          <c:showCatName val="0"/>
          <c:showSerName val="0"/>
          <c:showPercent val="0"/>
          <c:showBubbleSize val="0"/>
        </c:dLbls>
        <c:gapWidth val="247"/>
        <c:axId val="1170388288"/>
        <c:axId val="1181658512"/>
      </c:barChart>
      <c:catAx>
        <c:axId val="117038828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81658512"/>
        <c:crosses val="autoZero"/>
        <c:auto val="1"/>
        <c:lblAlgn val="ctr"/>
        <c:lblOffset val="100"/>
        <c:noMultiLvlLbl val="0"/>
      </c:catAx>
      <c:valAx>
        <c:axId val="1181658512"/>
        <c:scaling>
          <c:orientation val="minMax"/>
        </c:scaling>
        <c:delete val="0"/>
        <c:axPos val="b"/>
        <c:majorGridlines>
          <c:spPr>
            <a:ln w="9525" cap="flat" cmpd="sng" algn="ctr">
              <a:solidFill>
                <a:schemeClr val="dk1">
                  <a:lumMod val="15000"/>
                  <a:lumOff val="85000"/>
                </a:schemeClr>
              </a:solidFill>
              <a:round/>
            </a:ln>
            <a:effectLst/>
          </c:spPr>
        </c:majorGridlines>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70388288"/>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88411598881832476"/>
          <c:y val="0.15975768089229811"/>
          <c:w val="7.7978873441162236E-2"/>
          <c:h val="7.5834611582643083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MX" sz="1000" b="1" i="0">
                <a:effectLst/>
              </a:rPr>
              <a:t>𝐆𝐫𝐚𝐝𝐨 𝐝𝐞 𝐄𝐣𝐞𝐜𝐮𝐜𝐢ó𝐧 𝐩𝐨𝐫 𝐄𝐧𝐭𝐢𝐝𝐚𝐝 </a:t>
            </a:r>
            <a:r>
              <a:rPr lang="es-MX" sz="1000" b="1" i="0" baseline="30000">
                <a:effectLst/>
              </a:rPr>
              <a:t>𝟏/</a:t>
            </a:r>
            <a:endParaRPr lang="es-GT" sz="1000" baseline="30000">
              <a:effectLst/>
            </a:endParaRPr>
          </a:p>
          <a:p>
            <a:pPr>
              <a:defRPr sz="1000"/>
            </a:pPr>
            <a:r>
              <a:rPr lang="es-MX" sz="1000" b="1">
                <a:effectLst/>
              </a:rPr>
              <a:t>Cifras a</a:t>
            </a:r>
            <a:r>
              <a:rPr lang="es-MX" sz="1000" b="1" baseline="0">
                <a:effectLst/>
              </a:rPr>
              <a:t> junio </a:t>
            </a:r>
            <a:r>
              <a:rPr lang="es-MX" sz="1000" b="1">
                <a:effectLst/>
              </a:rPr>
              <a:t>de 2023*</a:t>
            </a:r>
            <a:endParaRPr lang="es-GT" sz="1000">
              <a:effectLst/>
            </a:endParaRPr>
          </a:p>
          <a:p>
            <a:pPr>
              <a:defRPr sz="1000"/>
            </a:pPr>
            <a:r>
              <a:rPr lang="es-MX" sz="1000">
                <a:effectLst/>
              </a:rPr>
              <a:t>En porcentajes</a:t>
            </a:r>
            <a:endParaRPr lang="es-GT" sz="1000">
              <a:effectLst/>
            </a:endParaRPr>
          </a:p>
        </c:rich>
      </c:tx>
      <c:layout>
        <c:manualLayout>
          <c:xMode val="edge"/>
          <c:yMode val="edge"/>
          <c:x val="0.12396123862593236"/>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0.30639727081094731"/>
          <c:y val="0.13176814343990134"/>
          <c:w val="0.96086113161048337"/>
          <c:h val="0.76025386585712929"/>
        </c:manualLayout>
      </c:layout>
      <c:barChart>
        <c:barDir val="bar"/>
        <c:grouping val="clustered"/>
        <c:varyColors val="0"/>
        <c:ser>
          <c:idx val="0"/>
          <c:order val="0"/>
          <c:tx>
            <c:strRef>
              <c:f>Sheet1!$B$1</c:f>
              <c:strCache>
                <c:ptCount val="1"/>
                <c:pt idx="0">
                  <c:v>%</c:v>
                </c:pt>
              </c:strCache>
            </c:strRef>
          </c:tx>
          <c:spPr>
            <a:solidFill>
              <a:schemeClr val="accent3">
                <a:lumMod val="40000"/>
                <a:lumOff val="60000"/>
              </a:schemeClr>
            </a:solidFill>
            <a:ln>
              <a:solidFill>
                <a:schemeClr val="tx1"/>
              </a:solidFill>
            </a:ln>
            <a:effectLst>
              <a:outerShdw blurRad="50800" dist="38100" dir="18900000" algn="bl" rotWithShape="0">
                <a:prstClr val="black">
                  <a:alpha val="40000"/>
                </a:prstClr>
              </a:outerShdw>
            </a:effectLst>
            <a:scene3d>
              <a:camera prst="orthographicFront"/>
              <a:lightRig rig="threePt" dir="t"/>
            </a:scene3d>
            <a:sp3d/>
          </c:spPr>
          <c:invertIfNegative val="0"/>
          <c:dPt>
            <c:idx val="3"/>
            <c:invertIfNegative val="0"/>
            <c:bubble3D val="0"/>
            <c:extLst>
              <c:ext xmlns:c16="http://schemas.microsoft.com/office/drawing/2014/chart" uri="{C3380CC4-5D6E-409C-BE32-E72D297353CC}">
                <c16:uniqueId val="{00000000-CFA1-46B3-91A8-687BDB5199B1}"/>
              </c:ext>
            </c:extLst>
          </c:dPt>
          <c:dPt>
            <c:idx val="7"/>
            <c:invertIfNegative val="0"/>
            <c:bubble3D val="0"/>
            <c:extLst>
              <c:ext xmlns:c16="http://schemas.microsoft.com/office/drawing/2014/chart" uri="{C3380CC4-5D6E-409C-BE32-E72D297353CC}">
                <c16:uniqueId val="{00000001-CFA1-46B3-91A8-687BDB5199B1}"/>
              </c:ext>
            </c:extLst>
          </c:dPt>
          <c:dPt>
            <c:idx val="8"/>
            <c:invertIfNegative val="0"/>
            <c:bubble3D val="0"/>
            <c:extLst>
              <c:ext xmlns:c16="http://schemas.microsoft.com/office/drawing/2014/chart" uri="{C3380CC4-5D6E-409C-BE32-E72D297353CC}">
                <c16:uniqueId val="{00000002-CFA1-46B3-91A8-687BDB5199B1}"/>
              </c:ext>
            </c:extLst>
          </c:dPt>
          <c:dPt>
            <c:idx val="9"/>
            <c:invertIfNegative val="0"/>
            <c:bubble3D val="0"/>
            <c:extLst>
              <c:ext xmlns:c16="http://schemas.microsoft.com/office/drawing/2014/chart" uri="{C3380CC4-5D6E-409C-BE32-E72D297353CC}">
                <c16:uniqueId val="{00000003-CFA1-46B3-91A8-687BDB5199B1}"/>
              </c:ext>
            </c:extLst>
          </c:dPt>
          <c:dPt>
            <c:idx val="10"/>
            <c:invertIfNegative val="0"/>
            <c:bubble3D val="0"/>
            <c:extLst>
              <c:ext xmlns:c16="http://schemas.microsoft.com/office/drawing/2014/chart" uri="{C3380CC4-5D6E-409C-BE32-E72D297353CC}">
                <c16:uniqueId val="{00000004-CFA1-46B3-91A8-687BDB5199B1}"/>
              </c:ext>
            </c:extLst>
          </c:dPt>
          <c:dPt>
            <c:idx val="11"/>
            <c:invertIfNegative val="0"/>
            <c:bubble3D val="0"/>
            <c:spPr>
              <a:solidFill>
                <a:schemeClr val="accent3">
                  <a:lumMod val="50000"/>
                </a:schemeClr>
              </a:solidFill>
              <a:ln>
                <a:solidFill>
                  <a:schemeClr val="tx1"/>
                </a:solidFill>
              </a:ln>
              <a:effectLst>
                <a:outerShdw blurRad="50800" dist="38100" dir="18900000" algn="bl" rotWithShape="0">
                  <a:prstClr val="black">
                    <a:alpha val="40000"/>
                  </a:prstClr>
                </a:outerShdw>
              </a:effectLst>
              <a:scene3d>
                <a:camera prst="orthographicFront"/>
                <a:lightRig rig="threePt" dir="t"/>
              </a:scene3d>
              <a:sp3d/>
            </c:spPr>
            <c:extLst>
              <c:ext xmlns:c16="http://schemas.microsoft.com/office/drawing/2014/chart" uri="{C3380CC4-5D6E-409C-BE32-E72D297353CC}">
                <c16:uniqueId val="{00000006-CFA1-46B3-91A8-687BDB5199B1}"/>
              </c:ext>
            </c:extLst>
          </c:dPt>
          <c:dPt>
            <c:idx val="12"/>
            <c:invertIfNegative val="0"/>
            <c:bubble3D val="0"/>
            <c:extLst>
              <c:ext xmlns:c16="http://schemas.microsoft.com/office/drawing/2014/chart" uri="{C3380CC4-5D6E-409C-BE32-E72D297353CC}">
                <c16:uniqueId val="{00000007-CFA1-46B3-91A8-687BDB5199B1}"/>
              </c:ext>
            </c:extLst>
          </c:dPt>
          <c:dPt>
            <c:idx val="13"/>
            <c:invertIfNegative val="0"/>
            <c:bubble3D val="0"/>
            <c:extLst>
              <c:ext xmlns:c16="http://schemas.microsoft.com/office/drawing/2014/chart" uri="{C3380CC4-5D6E-409C-BE32-E72D297353CC}">
                <c16:uniqueId val="{00000008-CFA1-46B3-91A8-687BDB5199B1}"/>
              </c:ext>
            </c:extLst>
          </c:dPt>
          <c:dLbls>
            <c:dLbl>
              <c:idx val="1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6-CFA1-46B3-91A8-687BDB5199B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Ambiente </c:v>
                </c:pt>
                <c:pt idx="1">
                  <c:v>Finanzas</c:v>
                </c:pt>
                <c:pt idx="2">
                  <c:v>Trabajo </c:v>
                </c:pt>
                <c:pt idx="3">
                  <c:v>Economía</c:v>
                </c:pt>
                <c:pt idx="4">
                  <c:v>Defensa </c:v>
                </c:pt>
                <c:pt idx="5">
                  <c:v>Salud Pública </c:v>
                </c:pt>
                <c:pt idx="6">
                  <c:v>Obligaciones </c:v>
                </c:pt>
                <c:pt idx="7">
                  <c:v>Secretarías</c:v>
                </c:pt>
                <c:pt idx="8">
                  <c:v>MINREX</c:v>
                </c:pt>
                <c:pt idx="9">
                  <c:v>Gobernación</c:v>
                </c:pt>
                <c:pt idx="10">
                  <c:v>Desarrollo</c:v>
                </c:pt>
                <c:pt idx="11">
                  <c:v>Total</c:v>
                </c:pt>
                <c:pt idx="12">
                  <c:v>Presidencia</c:v>
                </c:pt>
                <c:pt idx="13">
                  <c:v>PGN</c:v>
                </c:pt>
                <c:pt idx="14">
                  <c:v>Educación </c:v>
                </c:pt>
                <c:pt idx="15">
                  <c:v>Agricultura</c:v>
                </c:pt>
                <c:pt idx="16">
                  <c:v>Deuda Pública</c:v>
                </c:pt>
                <c:pt idx="17">
                  <c:v>Cultura</c:v>
                </c:pt>
                <c:pt idx="18">
                  <c:v>Comunicaciones</c:v>
                </c:pt>
                <c:pt idx="19">
                  <c:v>Energía</c:v>
                </c:pt>
              </c:strCache>
            </c:strRef>
          </c:cat>
          <c:val>
            <c:numRef>
              <c:f>Sheet1!$B$2:$B$21</c:f>
              <c:numCache>
                <c:formatCode>0.0</c:formatCode>
                <c:ptCount val="20"/>
                <c:pt idx="0">
                  <c:v>28.886306542924817</c:v>
                </c:pt>
                <c:pt idx="1">
                  <c:v>36.758386398670091</c:v>
                </c:pt>
                <c:pt idx="2">
                  <c:v>38.434037264189328</c:v>
                </c:pt>
                <c:pt idx="3">
                  <c:v>39.380090370463527</c:v>
                </c:pt>
                <c:pt idx="4">
                  <c:v>42.005189298264298</c:v>
                </c:pt>
                <c:pt idx="5">
                  <c:v>42.196833180843804</c:v>
                </c:pt>
                <c:pt idx="6">
                  <c:v>43.012652385732395</c:v>
                </c:pt>
                <c:pt idx="7">
                  <c:v>43.390430122040819</c:v>
                </c:pt>
                <c:pt idx="8">
                  <c:v>43.393521235709144</c:v>
                </c:pt>
                <c:pt idx="9">
                  <c:v>43.666274103581053</c:v>
                </c:pt>
                <c:pt idx="10">
                  <c:v>45.304010145375138</c:v>
                </c:pt>
                <c:pt idx="11">
                  <c:v>46.431429514456305</c:v>
                </c:pt>
                <c:pt idx="12">
                  <c:v>46.613982199501244</c:v>
                </c:pt>
                <c:pt idx="13">
                  <c:v>46.672091359094551</c:v>
                </c:pt>
                <c:pt idx="14">
                  <c:v>47.753565653428296</c:v>
                </c:pt>
                <c:pt idx="15">
                  <c:v>48.44553968497366</c:v>
                </c:pt>
                <c:pt idx="16">
                  <c:v>48.5335167944285</c:v>
                </c:pt>
                <c:pt idx="17">
                  <c:v>51.798784003609768</c:v>
                </c:pt>
                <c:pt idx="18">
                  <c:v>69.52722510770225</c:v>
                </c:pt>
                <c:pt idx="19">
                  <c:v>81.35550379519249</c:v>
                </c:pt>
              </c:numCache>
            </c:numRef>
          </c:val>
          <c:extLst>
            <c:ext xmlns:c16="http://schemas.microsoft.com/office/drawing/2014/chart" uri="{C3380CC4-5D6E-409C-BE32-E72D297353CC}">
              <c16:uniqueId val="{00000009-CFA1-46B3-91A8-687BDB5199B1}"/>
            </c:ext>
          </c:extLst>
        </c:ser>
        <c:dLbls>
          <c:showLegendKey val="0"/>
          <c:showVal val="0"/>
          <c:showCatName val="0"/>
          <c:showSerName val="0"/>
          <c:showPercent val="0"/>
          <c:showBubbleSize val="0"/>
        </c:dLbls>
        <c:gapWidth val="99"/>
        <c:axId val="584502968"/>
        <c:axId val="584496080"/>
      </c:barChart>
      <c:catAx>
        <c:axId val="584502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84496080"/>
        <c:crosses val="autoZero"/>
        <c:auto val="1"/>
        <c:lblAlgn val="ctr"/>
        <c:lblOffset val="100"/>
        <c:noMultiLvlLbl val="0"/>
      </c:catAx>
      <c:valAx>
        <c:axId val="584496080"/>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84502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sz="1200" b="1">
                <a:solidFill>
                  <a:sysClr val="windowText" lastClr="000000"/>
                </a:solidFill>
              </a:rPr>
              <a:t>Ingresos Totales por clasificación MEFP</a:t>
            </a:r>
          </a:p>
          <a:p>
            <a:pPr>
              <a:defRPr/>
            </a:pPr>
            <a:r>
              <a:rPr lang="en-US" sz="1100" b="1">
                <a:solidFill>
                  <a:sysClr val="windowText" lastClr="000000"/>
                </a:solidFill>
              </a:rPr>
              <a:t>Variación interanual acumulada a junio</a:t>
            </a:r>
            <a:r>
              <a:rPr lang="en-US" sz="1100" b="1" baseline="0">
                <a:solidFill>
                  <a:sysClr val="windowText" lastClr="000000"/>
                </a:solidFill>
              </a:rPr>
              <a:t> </a:t>
            </a:r>
            <a:r>
              <a:rPr lang="en-US" sz="1100" b="1">
                <a:solidFill>
                  <a:sysClr val="windowText" lastClr="000000"/>
                </a:solidFill>
              </a:rPr>
              <a:t>2023*</a:t>
            </a:r>
          </a:p>
          <a:p>
            <a:pPr>
              <a:defRPr/>
            </a:pPr>
            <a:r>
              <a:rPr lang="en-US" sz="1000" b="0">
                <a:solidFill>
                  <a:sysClr val="windowText" lastClr="000000"/>
                </a:solidFill>
              </a:rPr>
              <a:t>En millones de Quetzales</a:t>
            </a:r>
          </a:p>
        </c:rich>
      </c:tx>
      <c:layout>
        <c:manualLayout>
          <c:xMode val="edge"/>
          <c:yMode val="edge"/>
          <c:x val="0.26254132099927324"/>
          <c:y val="0"/>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4.0408336877924285E-2"/>
          <c:y val="0.29378602427171852"/>
          <c:w val="0.94778901254952663"/>
          <c:h val="0.57796990722694319"/>
        </c:manualLayout>
      </c:layout>
      <c:barChart>
        <c:barDir val="col"/>
        <c:grouping val="clustered"/>
        <c:varyColors val="0"/>
        <c:ser>
          <c:idx val="0"/>
          <c:order val="0"/>
          <c:tx>
            <c:strRef>
              <c:f>Hoja1!$B$1</c:f>
              <c:strCache>
                <c:ptCount val="1"/>
                <c:pt idx="0">
                  <c:v>Diferencia acumulada en Q</c:v>
                </c:pt>
              </c:strCache>
            </c:strRef>
          </c:tx>
          <c:spPr>
            <a:solidFill>
              <a:srgbClr val="1F497D"/>
            </a:solidFill>
            <a:ln>
              <a:solidFill>
                <a:schemeClr val="tx1"/>
              </a:solidFill>
            </a:ln>
            <a:effectLst>
              <a:outerShdw blurRad="50800" dist="38100" dir="18900000" algn="bl" rotWithShape="0">
                <a:prstClr val="black">
                  <a:alpha val="40000"/>
                </a:prstClr>
              </a:outerShdw>
            </a:effectLst>
          </c:spPr>
          <c:invertIfNegative val="1"/>
          <c:dPt>
            <c:idx val="0"/>
            <c:invertIfNegative val="1"/>
            <c:bubble3D val="0"/>
            <c:spPr>
              <a:solidFill>
                <a:schemeClr val="tx2"/>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87A6-4C68-88CD-2C6CC3BED143}"/>
              </c:ext>
            </c:extLst>
          </c:dPt>
          <c:dPt>
            <c:idx val="3"/>
            <c:invertIfNegative val="0"/>
            <c:bubble3D val="0"/>
            <c:spPr>
              <a:solidFill>
                <a:schemeClr val="accent2"/>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3-87A6-4C68-88CD-2C6CC3BED143}"/>
              </c:ext>
            </c:extLst>
          </c:dPt>
          <c:dPt>
            <c:idx val="4"/>
            <c:invertIfNegative val="0"/>
            <c:bubble3D val="0"/>
            <c:spPr>
              <a:solidFill>
                <a:schemeClr val="accent3"/>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5-87A6-4C68-88CD-2C6CC3BED143}"/>
              </c:ext>
            </c:extLst>
          </c:dPt>
          <c:dLbls>
            <c:dLbl>
              <c:idx val="4"/>
              <c:spPr>
                <a:noFill/>
                <a:ln>
                  <a:noFill/>
                </a:ln>
                <a:effectLst/>
              </c:spPr>
              <c:txPr>
                <a:bodyPr rot="0" spcFirstLastPara="1" vertOverflow="ellipsis" vert="horz" wrap="square" anchor="ctr" anchorCtr="1"/>
                <a:lstStyle/>
                <a:p>
                  <a:pPr>
                    <a:defRPr sz="900" b="0" i="0" u="none" strike="noStrike" kern="1200" baseline="0">
                      <a:solidFill>
                        <a:schemeClr val="accent3">
                          <a:lumMod val="75000"/>
                        </a:schemeClr>
                      </a:solidFill>
                      <a:latin typeface="+mn-lt"/>
                      <a:ea typeface="+mn-ea"/>
                      <a:cs typeface="+mn-cs"/>
                    </a:defRPr>
                  </a:pPr>
                  <a:endParaRPr lang="es-GT"/>
                </a:p>
              </c:txPr>
              <c:showLegendKey val="0"/>
              <c:showVal val="1"/>
              <c:showCatName val="0"/>
              <c:showSerName val="0"/>
              <c:showPercent val="0"/>
              <c:showBubbleSize val="0"/>
              <c:extLst>
                <c:ext xmlns:c16="http://schemas.microsoft.com/office/drawing/2014/chart" uri="{C3380CC4-5D6E-409C-BE32-E72D297353CC}">
                  <c16:uniqueId val="{00000005-87A6-4C68-88CD-2C6CC3BED143}"/>
                </c:ext>
              </c:extLst>
            </c:dLbl>
            <c:spPr>
              <a:noFill/>
              <a:ln>
                <a:noFill/>
              </a:ln>
              <a:effectLst/>
            </c:spPr>
            <c:txPr>
              <a:bodyPr rot="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Hoja1!$A$2:$A$6</c:f>
              <c:strCache>
                <c:ptCount val="5"/>
                <c:pt idx="0">
                  <c:v>Impuestos </c:v>
                </c:pt>
                <c:pt idx="1">
                  <c:v>Contribuciones sociales </c:v>
                </c:pt>
                <c:pt idx="2">
                  <c:v>Otros ingresos </c:v>
                </c:pt>
                <c:pt idx="3">
                  <c:v>Donaciones </c:v>
                </c:pt>
                <c:pt idx="4">
                  <c:v>Ingresos Totales</c:v>
                </c:pt>
              </c:strCache>
            </c:strRef>
          </c:cat>
          <c:val>
            <c:numRef>
              <c:f>Hoja1!$B$2:$B$6</c:f>
              <c:numCache>
                <c:formatCode>#,##0.0_ ;[Red]\-#,##0.0\ </c:formatCode>
                <c:ptCount val="5"/>
                <c:pt idx="0">
                  <c:v>3940.2794313699997</c:v>
                </c:pt>
                <c:pt idx="1">
                  <c:v>398.05296890999989</c:v>
                </c:pt>
                <c:pt idx="2">
                  <c:v>160.06575139999995</c:v>
                </c:pt>
                <c:pt idx="3">
                  <c:v>-30.563927790000001</c:v>
                </c:pt>
                <c:pt idx="4">
                  <c:v>4467.8342238899995</c:v>
                </c:pt>
              </c:numCache>
            </c:numRef>
          </c:val>
          <c:extLst>
            <c:ext xmlns:c14="http://schemas.microsoft.com/office/drawing/2007/8/2/chart" uri="{6F2FDCE9-48DA-4B69-8628-5D25D57E5C99}">
              <c14:invertSolidFillFmt>
                <c14:spPr xmlns:c14="http://schemas.microsoft.com/office/drawing/2007/8/2/chart">
                  <a:solidFill>
                    <a:srgbClr val="C0504D"/>
                  </a:solidFill>
                  <a:ln>
                    <a:solidFill>
                      <a:schemeClr val="tx1"/>
                    </a:solidFill>
                  </a:ln>
                  <a:effectLst>
                    <a:outerShdw blurRad="50800" dist="38100" dir="18900000" algn="bl" rotWithShape="0">
                      <a:prstClr val="black">
                        <a:alpha val="40000"/>
                      </a:prstClr>
                    </a:outerShdw>
                  </a:effectLst>
                </c14:spPr>
              </c14:invertSolidFillFmt>
            </c:ext>
            <c:ext xmlns:c16="http://schemas.microsoft.com/office/drawing/2014/chart" uri="{C3380CC4-5D6E-409C-BE32-E72D297353CC}">
              <c16:uniqueId val="{00000006-87A6-4C68-88CD-2C6CC3BED143}"/>
            </c:ext>
          </c:extLst>
        </c:ser>
        <c:dLbls>
          <c:showLegendKey val="0"/>
          <c:showVal val="0"/>
          <c:showCatName val="0"/>
          <c:showSerName val="0"/>
          <c:showPercent val="0"/>
          <c:showBubbleSize val="0"/>
        </c:dLbls>
        <c:gapWidth val="267"/>
        <c:axId val="415018800"/>
        <c:axId val="408568416"/>
      </c:barChart>
      <c:catAx>
        <c:axId val="4150188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408568416"/>
        <c:crosses val="autoZero"/>
        <c:auto val="1"/>
        <c:lblAlgn val="ctr"/>
        <c:lblOffset val="100"/>
        <c:noMultiLvlLbl val="0"/>
      </c:catAx>
      <c:valAx>
        <c:axId val="408568416"/>
        <c:scaling>
          <c:orientation val="minMax"/>
        </c:scaling>
        <c:delete val="0"/>
        <c:axPos val="l"/>
        <c:majorGridlines>
          <c:spPr>
            <a:ln w="9525" cap="flat" cmpd="sng" algn="ctr">
              <a:solidFill>
                <a:schemeClr val="dk1">
                  <a:lumMod val="15000"/>
                  <a:lumOff val="85000"/>
                </a:schemeClr>
              </a:solidFill>
              <a:round/>
            </a:ln>
            <a:effectLst/>
          </c:spPr>
        </c:majorGridlines>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150188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1100" b="1" i="0" baseline="0">
                <a:effectLst/>
              </a:rPr>
              <a:t>Impuestos por clasificación MEFP</a:t>
            </a:r>
            <a:endParaRPr lang="es-GT" sz="1100">
              <a:effectLst/>
            </a:endParaRPr>
          </a:p>
          <a:p>
            <a:pPr>
              <a:defRPr sz="1200" b="0">
                <a:solidFill>
                  <a:sysClr val="windowText" lastClr="000000"/>
                </a:solidFill>
              </a:defRPr>
            </a:pPr>
            <a:r>
              <a:rPr lang="es-GT" sz="1100" b="1" i="0" baseline="0">
                <a:effectLst/>
              </a:rPr>
              <a:t>Variación interanual acumulada </a:t>
            </a:r>
          </a:p>
          <a:p>
            <a:pPr>
              <a:defRPr sz="1200" b="0">
                <a:solidFill>
                  <a:sysClr val="windowText" lastClr="000000"/>
                </a:solidFill>
              </a:defRPr>
            </a:pPr>
            <a:r>
              <a:rPr lang="es-GT" sz="1050" b="1" i="0" baseline="0">
                <a:effectLst/>
              </a:rPr>
              <a:t>a junio de cada año </a:t>
            </a:r>
            <a:endParaRPr lang="es-GT" sz="1050">
              <a:effectLst/>
            </a:endParaRPr>
          </a:p>
          <a:p>
            <a:pPr>
              <a:defRPr sz="1200" b="0">
                <a:solidFill>
                  <a:sysClr val="windowText" lastClr="000000"/>
                </a:solidFill>
              </a:defRPr>
            </a:pPr>
            <a:r>
              <a:rPr lang="es-GT" sz="1000" b="0" i="0" baseline="0">
                <a:effectLst/>
              </a:rPr>
              <a:t>En millones de quetzales</a:t>
            </a:r>
            <a:endParaRPr lang="es-GT" sz="1000">
              <a:effectLst/>
            </a:endParaRPr>
          </a:p>
        </c:rich>
      </c:tx>
      <c:layout>
        <c:manualLayout>
          <c:xMode val="edge"/>
          <c:yMode val="edge"/>
          <c:x val="0.12525042970608533"/>
          <c:y val="1.507709625468791E-3"/>
        </c:manualLayout>
      </c:layout>
      <c:overlay val="0"/>
      <c:spPr>
        <a:noFill/>
        <a:ln>
          <a:noFill/>
        </a:ln>
        <a:effectLst/>
      </c:spPr>
      <c:txPr>
        <a:bodyPr rot="0" spcFirstLastPara="1" vertOverflow="ellipsis" vert="horz" wrap="square" anchor="ctr" anchorCtr="1"/>
        <a:lstStyle/>
        <a:p>
          <a:pPr>
            <a:defRPr sz="12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61045185164575277"/>
          <c:y val="0.15622145592456679"/>
          <c:w val="0.32196725188503383"/>
          <c:h val="0.77876290053907182"/>
        </c:manualLayout>
      </c:layout>
      <c:barChart>
        <c:barDir val="bar"/>
        <c:grouping val="clustered"/>
        <c:varyColors val="0"/>
        <c:ser>
          <c:idx val="0"/>
          <c:order val="0"/>
          <c:tx>
            <c:strRef>
              <c:f>Hoja1!$B$1</c:f>
              <c:strCache>
                <c:ptCount val="1"/>
                <c:pt idx="0">
                  <c:v>2023*</c:v>
                </c:pt>
              </c:strCache>
            </c:strRef>
          </c:tx>
          <c:spPr>
            <a:solidFill>
              <a:schemeClr val="accent1"/>
            </a:solidFill>
            <a:ln>
              <a:solidFill>
                <a:sysClr val="windowText" lastClr="000000"/>
              </a:solidFill>
            </a:ln>
            <a:effectLst>
              <a:outerShdw blurRad="50800" dist="38100" dir="18900000" algn="bl" rotWithShape="0">
                <a:prstClr val="black">
                  <a:alpha val="40000"/>
                </a:prstClr>
              </a:outerShdw>
            </a:effectLst>
          </c:spPr>
          <c:invertIfNegative val="0"/>
          <c:dPt>
            <c:idx val="0"/>
            <c:invertIfNegative val="0"/>
            <c:bubble3D val="0"/>
            <c:spPr>
              <a:solidFill>
                <a:srgbClr val="00B0F0"/>
              </a:solidFill>
              <a:ln>
                <a:solidFill>
                  <a:sysClr val="windowText" lastClr="000000"/>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6035-4FD0-8846-C058D9E2CEE6}"/>
              </c:ext>
            </c:extLst>
          </c:dPt>
          <c:dLbls>
            <c:dLbl>
              <c:idx val="0"/>
              <c:layout>
                <c:manualLayout>
                  <c:x val="3.8995856690226482E-2"/>
                  <c:y val="-1.9169386012336992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35-4FD0-8846-C058D9E2CEE6}"/>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accent1"/>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Impuestos Totales</c:v>
                </c:pt>
                <c:pt idx="1">
                  <c:v>Impuestos sobre los bienes y servicios </c:v>
                </c:pt>
                <c:pt idx="2">
                  <c:v>Impuestos sobre el ingreso, las utilidades y las ganancias de capital </c:v>
                </c:pt>
                <c:pt idx="3">
                  <c:v>Impuestos sobre el comercio y las transacciones internacionales </c:v>
                </c:pt>
                <c:pt idx="4">
                  <c:v>Impuestos sobre la propiedad </c:v>
                </c:pt>
                <c:pt idx="5">
                  <c:v>Otros impuestos </c:v>
                </c:pt>
              </c:strCache>
            </c:strRef>
          </c:cat>
          <c:val>
            <c:numRef>
              <c:f>Hoja1!$B$2:$B$7</c:f>
              <c:numCache>
                <c:formatCode>#,##0.0_ ;[Red]\-#,##0.0\ </c:formatCode>
                <c:ptCount val="6"/>
                <c:pt idx="0" formatCode="_(* #,##0.00_);_(* \(#,##0.00\);_(* &quot;-&quot;??_);_(@_)">
                  <c:v>3940.2794313700015</c:v>
                </c:pt>
                <c:pt idx="1">
                  <c:v>1909.4835176099987</c:v>
                </c:pt>
                <c:pt idx="2">
                  <c:v>1882.680947390003</c:v>
                </c:pt>
                <c:pt idx="3">
                  <c:v>157.59931228999994</c:v>
                </c:pt>
                <c:pt idx="4">
                  <c:v>-1.7488637000000011</c:v>
                </c:pt>
                <c:pt idx="5">
                  <c:v>-7.7354822199999944</c:v>
                </c:pt>
              </c:numCache>
            </c:numRef>
          </c:val>
          <c:extLst>
            <c:ext xmlns:c16="http://schemas.microsoft.com/office/drawing/2014/chart" uri="{C3380CC4-5D6E-409C-BE32-E72D297353CC}">
              <c16:uniqueId val="{00000002-6035-4FD0-8846-C058D9E2CEE6}"/>
            </c:ext>
          </c:extLst>
        </c:ser>
        <c:ser>
          <c:idx val="1"/>
          <c:order val="1"/>
          <c:tx>
            <c:strRef>
              <c:f>Hoja1!$C$1</c:f>
              <c:strCache>
                <c:ptCount val="1"/>
                <c:pt idx="0">
                  <c:v>2022</c:v>
                </c:pt>
              </c:strCache>
            </c:strRef>
          </c:tx>
          <c:spPr>
            <a:solidFill>
              <a:srgbClr val="9BBB59"/>
            </a:solidFill>
            <a:ln>
              <a:solidFill>
                <a:sysClr val="windowText" lastClr="000000"/>
              </a:solidFill>
            </a:ln>
            <a:effectLst>
              <a:outerShdw blurRad="50800" dist="38100" dir="18900000" algn="bl" rotWithShape="0">
                <a:prstClr val="black">
                  <a:alpha val="40000"/>
                </a:prstClr>
              </a:outerShdw>
            </a:effectLst>
          </c:spPr>
          <c:invertIfNegative val="0"/>
          <c:dPt>
            <c:idx val="0"/>
            <c:invertIfNegative val="0"/>
            <c:bubble3D val="0"/>
            <c:spPr>
              <a:solidFill>
                <a:srgbClr val="9BBB59">
                  <a:lumMod val="60000"/>
                  <a:lumOff val="40000"/>
                </a:srgbClr>
              </a:solidFill>
              <a:ln>
                <a:solidFill>
                  <a:sysClr val="windowText" lastClr="000000"/>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4-6035-4FD0-8846-C058D9E2CEE6}"/>
              </c:ext>
            </c:extLst>
          </c:dPt>
          <c:dLbls>
            <c:dLbl>
              <c:idx val="0"/>
              <c:layout>
                <c:manualLayout>
                  <c:x val="0"/>
                  <c:y val="-4.774631899283403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035-4FD0-8846-C058D9E2CEE6}"/>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accent3">
                        <a:lumMod val="7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Impuestos Totales</c:v>
                </c:pt>
                <c:pt idx="1">
                  <c:v>Impuestos sobre los bienes y servicios </c:v>
                </c:pt>
                <c:pt idx="2">
                  <c:v>Impuestos sobre el ingreso, las utilidades y las ganancias de capital </c:v>
                </c:pt>
                <c:pt idx="3">
                  <c:v>Impuestos sobre el comercio y las transacciones internacionales </c:v>
                </c:pt>
                <c:pt idx="4">
                  <c:v>Impuestos sobre la propiedad </c:v>
                </c:pt>
                <c:pt idx="5">
                  <c:v>Otros impuestos </c:v>
                </c:pt>
              </c:strCache>
            </c:strRef>
          </c:cat>
          <c:val>
            <c:numRef>
              <c:f>Hoja1!$C$2:$C$7</c:f>
              <c:numCache>
                <c:formatCode>_(* #,##0.00_);_(* \(#,##0.00\);_(* "-"??_);_(@_)</c:formatCode>
                <c:ptCount val="6"/>
                <c:pt idx="0">
                  <c:v>6217.914583400001</c:v>
                </c:pt>
                <c:pt idx="1">
                  <c:v>3353.3647913500026</c:v>
                </c:pt>
                <c:pt idx="2">
                  <c:v>2529.733069259999</c:v>
                </c:pt>
                <c:pt idx="3">
                  <c:v>288.65201034999995</c:v>
                </c:pt>
                <c:pt idx="4">
                  <c:v>6.6789560600000026</c:v>
                </c:pt>
                <c:pt idx="5">
                  <c:v>39.48575637999997</c:v>
                </c:pt>
              </c:numCache>
            </c:numRef>
          </c:val>
          <c:extLst>
            <c:ext xmlns:c16="http://schemas.microsoft.com/office/drawing/2014/chart" uri="{C3380CC4-5D6E-409C-BE32-E72D297353CC}">
              <c16:uniqueId val="{00000005-6035-4FD0-8846-C058D9E2CEE6}"/>
            </c:ext>
          </c:extLst>
        </c:ser>
        <c:dLbls>
          <c:showLegendKey val="0"/>
          <c:showVal val="0"/>
          <c:showCatName val="0"/>
          <c:showSerName val="0"/>
          <c:showPercent val="0"/>
          <c:showBubbleSize val="0"/>
        </c:dLbls>
        <c:gapWidth val="247"/>
        <c:axId val="1916956256"/>
        <c:axId val="1924152624"/>
      </c:barChart>
      <c:catAx>
        <c:axId val="1916956256"/>
        <c:scaling>
          <c:orientation val="minMax"/>
        </c:scaling>
        <c:delete val="0"/>
        <c:axPos val="l"/>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5000"/>
                  <a:lumOff val="95000"/>
                </a:schemeClr>
              </a:solidFill>
              <a:round/>
            </a:ln>
            <a:effectLst/>
          </c:spPr>
        </c:minorGridlines>
        <c:numFmt formatCode="@" sourceLinked="0"/>
        <c:majorTickMark val="out"/>
        <c:minorTickMark val="none"/>
        <c:tickLblPos val="low"/>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8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924152624"/>
        <c:crosses val="autoZero"/>
        <c:auto val="1"/>
        <c:lblAlgn val="ctr"/>
        <c:lblOffset val="100"/>
        <c:noMultiLvlLbl val="0"/>
      </c:catAx>
      <c:valAx>
        <c:axId val="1924152624"/>
        <c:scaling>
          <c:orientation val="minMax"/>
          <c:max val="10000"/>
        </c:scaling>
        <c:delete val="1"/>
        <c:axPos val="b"/>
        <c:numFmt formatCode="_(* #,##0.00_);_(* \(#,##0.00\);_(* &quot;-&quot;??_);_(@_)" sourceLinked="1"/>
        <c:majorTickMark val="out"/>
        <c:minorTickMark val="none"/>
        <c:tickLblPos val="nextTo"/>
        <c:crossAx val="1916956256"/>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74918860076236049"/>
          <c:y val="0.14852118894974195"/>
          <c:w val="0.24180079853092568"/>
          <c:h val="5.080308860119656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ln>
                  <a:noFill/>
                </a:ln>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n-US" sz="1100" b="1" i="0" baseline="0">
                <a:solidFill>
                  <a:sysClr val="windowText" lastClr="000000"/>
                </a:solidFill>
                <a:effectLst/>
              </a:rPr>
              <a:t>Gasto Total</a:t>
            </a:r>
            <a:endParaRPr lang="es-GT" sz="1100" b="1">
              <a:solidFill>
                <a:sysClr val="windowText" lastClr="000000"/>
              </a:solidFill>
              <a:effectLst/>
            </a:endParaRPr>
          </a:p>
          <a:p>
            <a:pPr>
              <a:defRPr>
                <a:ln>
                  <a:noFill/>
                </a:ln>
              </a:defRPr>
            </a:pPr>
            <a:r>
              <a:rPr lang="en-US" sz="1050" b="1" i="0" baseline="0">
                <a:solidFill>
                  <a:sysClr val="windowText" lastClr="000000"/>
                </a:solidFill>
                <a:effectLst/>
              </a:rPr>
              <a:t>Variación internanual acumulada </a:t>
            </a:r>
          </a:p>
          <a:p>
            <a:pPr>
              <a:defRPr>
                <a:ln>
                  <a:noFill/>
                </a:ln>
              </a:defRPr>
            </a:pPr>
            <a:r>
              <a:rPr lang="en-US" sz="1050" b="1" i="0" baseline="0">
                <a:solidFill>
                  <a:sysClr val="windowText" lastClr="000000"/>
                </a:solidFill>
                <a:effectLst/>
              </a:rPr>
              <a:t>a junio de cada año</a:t>
            </a:r>
            <a:endParaRPr lang="es-GT" sz="1050" b="1">
              <a:solidFill>
                <a:sysClr val="windowText" lastClr="000000"/>
              </a:solidFill>
              <a:effectLst/>
            </a:endParaRPr>
          </a:p>
          <a:p>
            <a:pPr>
              <a:defRPr>
                <a:ln>
                  <a:noFill/>
                </a:ln>
              </a:defRPr>
            </a:pPr>
            <a:r>
              <a:rPr lang="en-US" sz="1000" b="0" i="0" baseline="0">
                <a:solidFill>
                  <a:sysClr val="windowText" lastClr="000000"/>
                </a:solidFill>
                <a:effectLst/>
              </a:rPr>
              <a:t>En porcentaje</a:t>
            </a:r>
            <a:endParaRPr lang="es-GT" sz="1000" b="0">
              <a:solidFill>
                <a:sysClr val="windowText" lastClr="000000"/>
              </a:solidFill>
            </a:endParaRPr>
          </a:p>
        </c:rich>
      </c:tx>
      <c:layout>
        <c:manualLayout>
          <c:xMode val="edge"/>
          <c:yMode val="edge"/>
          <c:x val="0.1199345497891748"/>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ln>
                <a:noFill/>
              </a:ln>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0"/>
          <c:y val="0.42342783068346818"/>
          <c:w val="0.98959481325520382"/>
          <c:h val="0.37577927104661663"/>
        </c:manualLayout>
      </c:layout>
      <c:barChart>
        <c:barDir val="col"/>
        <c:grouping val="clustered"/>
        <c:varyColors val="0"/>
        <c:ser>
          <c:idx val="0"/>
          <c:order val="1"/>
          <c:tx>
            <c:strRef>
              <c:f>Hoja1!$C$1</c:f>
              <c:strCache>
                <c:ptCount val="1"/>
                <c:pt idx="0">
                  <c:v>2022</c:v>
                </c:pt>
              </c:strCache>
            </c:strRef>
          </c:tx>
          <c:spPr>
            <a:solidFill>
              <a:srgbClr val="C0504D"/>
            </a:solidFill>
            <a:ln w="9525" cap="flat" cmpd="sng" algn="ctr">
              <a:solidFill>
                <a:sysClr val="windowText" lastClr="000000"/>
              </a:solidFill>
              <a:round/>
              <a:tailEnd type="triangle"/>
            </a:ln>
            <a:effectLst>
              <a:outerShdw blurRad="50800" dist="38100" dir="18900000" algn="bl" rotWithShape="0">
                <a:prstClr val="black">
                  <a:alpha val="40000"/>
                </a:prstClr>
              </a:outerShdw>
            </a:effectLst>
          </c:spPr>
          <c:invertIfNegative val="0"/>
          <c:dLbls>
            <c:dLbl>
              <c:idx val="0"/>
              <c:layout>
                <c:manualLayout>
                  <c:x val="-5.4769328330602973E-3"/>
                  <c:y val="-1.05797639169450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A9-4828-8279-56D853DEA497}"/>
                </c:ext>
              </c:extLst>
            </c:dLbl>
            <c:dLbl>
              <c:idx val="1"/>
              <c:layout>
                <c:manualLayout>
                  <c:x val="-2.3724215681094375E-3"/>
                  <c:y val="-3.79986533096975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A9-4828-8279-56D853DEA497}"/>
                </c:ext>
              </c:extLst>
            </c:dLbl>
            <c:dLbl>
              <c:idx val="3"/>
              <c:layout>
                <c:manualLayout>
                  <c:x val="-4.4296788482834993E-3"/>
                  <c:y val="-3.46220427005193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A9-4828-8279-56D853DEA497}"/>
                </c:ext>
              </c:extLst>
            </c:dLbl>
            <c:dLbl>
              <c:idx val="4"/>
              <c:layout>
                <c:manualLayout>
                  <c:x val="0"/>
                  <c:y val="2.92178955627511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A9-4828-8279-56D853DEA497}"/>
                </c:ext>
              </c:extLst>
            </c:dLbl>
            <c:dLbl>
              <c:idx val="5"/>
              <c:layout>
                <c:manualLayout>
                  <c:x val="-4.4295165048213467E-3"/>
                  <c:y val="-3.0120002071061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1A9-4828-8279-56D853DEA497}"/>
                </c:ext>
              </c:extLst>
            </c:dLbl>
            <c:dLbl>
              <c:idx val="7"/>
              <c:layout>
                <c:manualLayout>
                  <c:x val="2.1266839815435269E-3"/>
                  <c:y val="-7.95869368787917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A9-4828-8279-56D853DEA497}"/>
                </c:ext>
              </c:extLst>
            </c:dLbl>
            <c:dLbl>
              <c:idx val="8"/>
              <c:layout>
                <c:manualLayout>
                  <c:x val="-2.1983033615832E-3"/>
                  <c:y val="-2.802289058130068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1A9-4828-8279-56D853DEA497}"/>
                </c:ext>
              </c:extLst>
            </c:dLbl>
            <c:dLbl>
              <c:idx val="9"/>
              <c:layout>
                <c:manualLayout>
                  <c:x val="0"/>
                  <c:y val="-1.06112473645712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1A9-4828-8279-56D853DEA497}"/>
                </c:ext>
              </c:extLst>
            </c:dLbl>
            <c:spPr>
              <a:noFill/>
              <a:ln>
                <a:noFill/>
              </a:ln>
              <a:effectLst/>
            </c:spPr>
            <c:txPr>
              <a:bodyPr rot="0" spcFirstLastPara="1" vertOverflow="ellipsis" vert="horz" wrap="square" anchor="ctr" anchorCtr="1"/>
              <a:lstStyle/>
              <a:p>
                <a:pPr>
                  <a:defRPr sz="700" b="1" i="0" u="none" strike="noStrike" kern="1200" baseline="0">
                    <a:solidFill>
                      <a:srgbClr val="C0504D"/>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Enero</c:v>
                </c:pt>
                <c:pt idx="1">
                  <c:v>Febrero</c:v>
                </c:pt>
                <c:pt idx="2">
                  <c:v>Marzo</c:v>
                </c:pt>
                <c:pt idx="3">
                  <c:v>Abril</c:v>
                </c:pt>
                <c:pt idx="4">
                  <c:v>Mayo</c:v>
                </c:pt>
                <c:pt idx="5">
                  <c:v>Junio</c:v>
                </c:pt>
              </c:strCache>
            </c:strRef>
          </c:cat>
          <c:val>
            <c:numRef>
              <c:f>Hoja1!$C$2:$C$7</c:f>
              <c:numCache>
                <c:formatCode>_-* #,##0.0_-;\-* #,##0.0_-;_-* "-"??_-;_-@_-</c:formatCode>
                <c:ptCount val="6"/>
                <c:pt idx="0">
                  <c:v>7.230133261633398</c:v>
                </c:pt>
                <c:pt idx="1">
                  <c:v>15.177351148453422</c:v>
                </c:pt>
                <c:pt idx="2">
                  <c:v>17.795837335675735</c:v>
                </c:pt>
                <c:pt idx="3">
                  <c:v>11.966452142239659</c:v>
                </c:pt>
                <c:pt idx="4">
                  <c:v>13.367186055335289</c:v>
                </c:pt>
                <c:pt idx="5">
                  <c:v>14.681912854369482</c:v>
                </c:pt>
              </c:numCache>
            </c:numRef>
          </c:val>
          <c:extLst>
            <c:ext xmlns:c16="http://schemas.microsoft.com/office/drawing/2014/chart" uri="{C3380CC4-5D6E-409C-BE32-E72D297353CC}">
              <c16:uniqueId val="{00000008-91A9-4828-8279-56D853DEA497}"/>
            </c:ext>
          </c:extLst>
        </c:ser>
        <c:dLbls>
          <c:dLblPos val="ctr"/>
          <c:showLegendKey val="0"/>
          <c:showVal val="1"/>
          <c:showCatName val="0"/>
          <c:showSerName val="0"/>
          <c:showPercent val="0"/>
          <c:showBubbleSize val="0"/>
        </c:dLbls>
        <c:gapWidth val="73"/>
        <c:axId val="1509281743"/>
        <c:axId val="344873055"/>
      </c:barChart>
      <c:lineChart>
        <c:grouping val="standard"/>
        <c:varyColors val="0"/>
        <c:ser>
          <c:idx val="2"/>
          <c:order val="0"/>
          <c:tx>
            <c:strRef>
              <c:f>Hoja1!$B$1</c:f>
              <c:strCache>
                <c:ptCount val="1"/>
                <c:pt idx="0">
                  <c:v>2023*</c:v>
                </c:pt>
              </c:strCache>
            </c:strRef>
          </c:tx>
          <c:spPr>
            <a:ln w="31750" cap="rnd" cmpd="sng" algn="ctr">
              <a:solidFill>
                <a:schemeClr val="accent4"/>
              </a:solidFill>
              <a:round/>
              <a:tailEnd type="triangle"/>
            </a:ln>
            <a:effectLst>
              <a:outerShdw blurRad="50800" dist="38100" dir="18900000" algn="bl" rotWithShape="0">
                <a:prstClr val="black">
                  <a:alpha val="40000"/>
                </a:prstClr>
              </a:outerShdw>
            </a:effectLst>
          </c:spPr>
          <c:marker>
            <c:symbol val="circle"/>
            <c:size val="6"/>
            <c:spPr>
              <a:solidFill>
                <a:sysClr val="window" lastClr="FFFFFF"/>
              </a:solidFill>
              <a:ln w="9525" cap="flat" cmpd="sng" algn="ctr">
                <a:solidFill>
                  <a:sysClr val="windowText" lastClr="000000"/>
                </a:solidFill>
                <a:round/>
              </a:ln>
              <a:effectLst>
                <a:outerShdw blurRad="50800" dist="38100" dir="18900000" algn="bl" rotWithShape="0">
                  <a:prstClr val="black">
                    <a:alpha val="40000"/>
                  </a:prstClr>
                </a:outerShdw>
              </a:effectLst>
            </c:spPr>
          </c:marker>
          <c:dPt>
            <c:idx val="8"/>
            <c:marker>
              <c:symbol val="circle"/>
              <c:size val="6"/>
              <c:spPr>
                <a:solidFill>
                  <a:sysClr val="window" lastClr="FFFFFF"/>
                </a:solidFill>
                <a:ln w="9525" cap="flat" cmpd="sng" algn="ctr">
                  <a:solidFill>
                    <a:sysClr val="windowText" lastClr="000000"/>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9-91A9-4828-8279-56D853DEA497}"/>
              </c:ext>
            </c:extLst>
          </c:dPt>
          <c:dPt>
            <c:idx val="11"/>
            <c:marker>
              <c:symbol val="none"/>
            </c:marker>
            <c:bubble3D val="0"/>
            <c:extLst>
              <c:ext xmlns:c16="http://schemas.microsoft.com/office/drawing/2014/chart" uri="{C3380CC4-5D6E-409C-BE32-E72D297353CC}">
                <c16:uniqueId val="{0000000A-91A9-4828-8279-56D853DEA497}"/>
              </c:ext>
            </c:extLst>
          </c:dPt>
          <c:dLbls>
            <c:dLbl>
              <c:idx val="0"/>
              <c:layout>
                <c:manualLayout>
                  <c:x val="-4.3509843548699162E-2"/>
                  <c:y val="-6.92820446624499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1A9-4828-8279-56D853DEA497}"/>
                </c:ext>
              </c:extLst>
            </c:dLbl>
            <c:dLbl>
              <c:idx val="1"/>
              <c:layout>
                <c:manualLayout>
                  <c:x val="-7.8469234969789844E-2"/>
                  <c:y val="-0.1129465492206144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1A9-4828-8279-56D853DEA497}"/>
                </c:ext>
              </c:extLst>
            </c:dLbl>
            <c:dLbl>
              <c:idx val="2"/>
              <c:layout>
                <c:manualLayout>
                  <c:x val="-7.9047719706177674E-2"/>
                  <c:y val="-0.1307585897312574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1A9-4828-8279-56D853DEA497}"/>
                </c:ext>
              </c:extLst>
            </c:dLbl>
            <c:dLbl>
              <c:idx val="3"/>
              <c:layout>
                <c:manualLayout>
                  <c:x val="-7.0863700177012753E-2"/>
                  <c:y val="-0.1291547587134412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1A9-4828-8279-56D853DEA497}"/>
                </c:ext>
              </c:extLst>
            </c:dLbl>
            <c:dLbl>
              <c:idx val="4"/>
              <c:layout>
                <c:manualLayout>
                  <c:x val="-7.0863700177012837E-2"/>
                  <c:y val="-0.1176140778132681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1A9-4828-8279-56D853DEA497}"/>
                </c:ext>
              </c:extLst>
            </c:dLbl>
            <c:dLbl>
              <c:idx val="5"/>
              <c:layout>
                <c:manualLayout>
                  <c:x val="-3.2731538458372338E-2"/>
                  <c:y val="-0.1372170191148892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1A9-4828-8279-56D853DEA497}"/>
                </c:ext>
              </c:extLst>
            </c:dLbl>
            <c:spPr>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Enero</c:v>
                </c:pt>
                <c:pt idx="1">
                  <c:v>Febrero</c:v>
                </c:pt>
                <c:pt idx="2">
                  <c:v>Marzo</c:v>
                </c:pt>
                <c:pt idx="3">
                  <c:v>Abril</c:v>
                </c:pt>
                <c:pt idx="4">
                  <c:v>Mayo</c:v>
                </c:pt>
                <c:pt idx="5">
                  <c:v>Junio</c:v>
                </c:pt>
              </c:strCache>
            </c:strRef>
          </c:cat>
          <c:val>
            <c:numRef>
              <c:f>Hoja1!$B$2:$B$7</c:f>
              <c:numCache>
                <c:formatCode>_-* #,##0.0_-;\-* #,##0.0_-;_-* "-"??_-;_-@_-</c:formatCode>
                <c:ptCount val="6"/>
                <c:pt idx="0">
                  <c:v>15.726693071725339</c:v>
                </c:pt>
                <c:pt idx="1">
                  <c:v>17.044354782656555</c:v>
                </c:pt>
                <c:pt idx="2">
                  <c:v>17.706204568156792</c:v>
                </c:pt>
                <c:pt idx="3">
                  <c:v>19.717737405648371</c:v>
                </c:pt>
                <c:pt idx="4">
                  <c:v>17.949488661333302</c:v>
                </c:pt>
                <c:pt idx="5">
                  <c:v>16.278592934603829</c:v>
                </c:pt>
              </c:numCache>
            </c:numRef>
          </c:val>
          <c:smooth val="1"/>
          <c:extLst>
            <c:ext xmlns:c16="http://schemas.microsoft.com/office/drawing/2014/chart" uri="{C3380CC4-5D6E-409C-BE32-E72D297353CC}">
              <c16:uniqueId val="{00000011-91A9-4828-8279-56D853DEA497}"/>
            </c:ext>
          </c:extLst>
        </c:ser>
        <c:dLbls>
          <c:showLegendKey val="0"/>
          <c:showVal val="0"/>
          <c:showCatName val="0"/>
          <c:showSerName val="0"/>
          <c:showPercent val="0"/>
          <c:showBubbleSize val="0"/>
        </c:dLbls>
        <c:marker val="1"/>
        <c:smooth val="0"/>
        <c:axId val="1509281743"/>
        <c:axId val="344873055"/>
      </c:lineChart>
      <c:catAx>
        <c:axId val="1509281743"/>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44873055"/>
        <c:crosses val="autoZero"/>
        <c:auto val="1"/>
        <c:lblAlgn val="ctr"/>
        <c:lblOffset val="100"/>
        <c:noMultiLvlLbl val="0"/>
      </c:catAx>
      <c:valAx>
        <c:axId val="344873055"/>
        <c:scaling>
          <c:orientation val="minMax"/>
        </c:scaling>
        <c:delete val="0"/>
        <c:axPos val="l"/>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09281743"/>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49635540523877469"/>
          <c:y val="0.90744073091407051"/>
          <c:w val="0.49690570557874897"/>
          <c:h val="9.04008793772573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i="0" baseline="0">
                <a:effectLst/>
              </a:rPr>
              <a:t>Gasto Total por clasificación MEFP</a:t>
            </a:r>
            <a:endParaRPr lang="es-GT" sz="1200">
              <a:effectLst/>
            </a:endParaRPr>
          </a:p>
          <a:p>
            <a:pPr>
              <a:defRPr>
                <a:solidFill>
                  <a:sysClr val="windowText" lastClr="000000"/>
                </a:solidFill>
              </a:defRPr>
            </a:pPr>
            <a:r>
              <a:rPr lang="en-US" sz="1100" b="1" i="0" baseline="0">
                <a:effectLst/>
              </a:rPr>
              <a:t>Variación interanual acumulada a junio de 2023*</a:t>
            </a:r>
            <a:endParaRPr lang="es-GT" sz="1100">
              <a:effectLst/>
            </a:endParaRPr>
          </a:p>
          <a:p>
            <a:pPr>
              <a:defRPr>
                <a:solidFill>
                  <a:sysClr val="windowText" lastClr="000000"/>
                </a:solidFill>
              </a:defRPr>
            </a:pPr>
            <a:r>
              <a:rPr lang="en-US" sz="1000" b="0" i="0" baseline="0">
                <a:effectLst/>
              </a:rPr>
              <a:t>En millones de Quetzales</a:t>
            </a:r>
            <a:endParaRPr lang="es-GT" sz="1000">
              <a:effectLst/>
            </a:endParaRPr>
          </a:p>
        </c:rich>
      </c:tx>
      <c:layout>
        <c:manualLayout>
          <c:xMode val="edge"/>
          <c:yMode val="edge"/>
          <c:x val="0.23123619614662261"/>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0"/>
          <c:y val="0.22489561404529013"/>
          <c:w val="1"/>
          <c:h val="0.53533847412352631"/>
        </c:manualLayout>
      </c:layout>
      <c:barChart>
        <c:barDir val="col"/>
        <c:grouping val="clustered"/>
        <c:varyColors val="0"/>
        <c:ser>
          <c:idx val="0"/>
          <c:order val="0"/>
          <c:tx>
            <c:strRef>
              <c:f>Hoja1!$B$1</c:f>
              <c:strCache>
                <c:ptCount val="1"/>
                <c:pt idx="0">
                  <c:v>2023*</c:v>
                </c:pt>
              </c:strCache>
            </c:strRef>
          </c:tx>
          <c:spPr>
            <a:solidFill>
              <a:srgbClr val="70AD47"/>
            </a:solidFill>
            <a:ln>
              <a:solidFill>
                <a:sysClr val="windowText" lastClr="000000"/>
              </a:solidFill>
            </a:ln>
            <a:effectLst>
              <a:outerShdw blurRad="50800" dist="38100" dir="18900000" algn="bl" rotWithShape="0">
                <a:prstClr val="black">
                  <a:alpha val="40000"/>
                </a:prstClr>
              </a:outerShdw>
            </a:effectLst>
            <a:scene3d>
              <a:camera prst="orthographicFront"/>
              <a:lightRig rig="threePt" dir="t">
                <a:rot lat="0" lon="0" rev="1200000"/>
              </a:lightRig>
            </a:scene3d>
            <a:sp3d/>
          </c:spPr>
          <c:invertIfNegative val="1"/>
          <c:dPt>
            <c:idx val="0"/>
            <c:invertIfNegative val="0"/>
            <c:bubble3D val="0"/>
            <c:spPr>
              <a:solidFill>
                <a:srgbClr val="C00000"/>
              </a:solidFill>
              <a:ln>
                <a:solidFill>
                  <a:sysClr val="windowText" lastClr="000000"/>
                </a:solidFill>
              </a:ln>
              <a:effectLst>
                <a:outerShdw blurRad="50800" dist="38100" dir="18900000" algn="bl" rotWithShape="0">
                  <a:prstClr val="black">
                    <a:alpha val="40000"/>
                  </a:prstClr>
                </a:outerShdw>
              </a:effectLst>
              <a:scene3d>
                <a:camera prst="orthographicFront"/>
                <a:lightRig rig="threePt" dir="t">
                  <a:rot lat="0" lon="0" rev="1200000"/>
                </a:lightRig>
              </a:scene3d>
              <a:sp3d/>
            </c:spPr>
            <c:extLst>
              <c:ext xmlns:c16="http://schemas.microsoft.com/office/drawing/2014/chart" uri="{C3380CC4-5D6E-409C-BE32-E72D297353CC}">
                <c16:uniqueId val="{00000001-DE00-4EA7-9C72-EB9A7ED39A91}"/>
              </c:ext>
            </c:extLst>
          </c:dPt>
          <c:dLbls>
            <c:dLbl>
              <c:idx val="0"/>
              <c:spPr>
                <a:noFill/>
                <a:ln>
                  <a:noFill/>
                </a:ln>
                <a:effectLst/>
              </c:spPr>
              <c:txPr>
                <a:bodyPr rot="0" spcFirstLastPara="1" vertOverflow="ellipsis" vert="horz" wrap="square" anchor="ctr" anchorCtr="1"/>
                <a:lstStyle/>
                <a:p>
                  <a:pPr>
                    <a:defRPr sz="800" b="0"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1-DE00-4EA7-9C72-EB9A7ED39A91}"/>
                </c:ext>
              </c:extLst>
            </c:dLbl>
            <c:dLbl>
              <c:idx val="7"/>
              <c:layout>
                <c:manualLayout>
                  <c:x val="0"/>
                  <c:y val="1.24057055542151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00-4EA7-9C72-EB9A7ED39A91}"/>
                </c:ext>
              </c:extLst>
            </c:dLbl>
            <c:spPr>
              <a:noFill/>
              <a:ln>
                <a:noFill/>
              </a:ln>
              <a:effectLst/>
            </c:spPr>
            <c:txPr>
              <a:bodyPr rot="0" spcFirstLastPara="1" vertOverflow="ellipsis" vert="horz" wrap="square" anchor="ctr" anchorCtr="1"/>
              <a:lstStyle/>
              <a:p>
                <a:pPr>
                  <a:defRPr sz="800" b="0" i="0" u="none" strike="noStrike" kern="1200" baseline="0">
                    <a:solidFill>
                      <a:schemeClr val="accent3"/>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Gasto total</c:v>
                </c:pt>
                <c:pt idx="1">
                  <c:v>Uso de bienes y servicios  </c:v>
                </c:pt>
                <c:pt idx="2">
                  <c:v>Remuneración a los empleados </c:v>
                </c:pt>
                <c:pt idx="3">
                  <c:v>Donaciones </c:v>
                </c:pt>
                <c:pt idx="4">
                  <c:v>Otros gastos </c:v>
                </c:pt>
                <c:pt idx="5">
                  <c:v>Prestaciones sociales </c:v>
                </c:pt>
                <c:pt idx="6">
                  <c:v>Intereses </c:v>
                </c:pt>
                <c:pt idx="7">
                  <c:v>Subsidios </c:v>
                </c:pt>
              </c:strCache>
            </c:strRef>
          </c:cat>
          <c:val>
            <c:numRef>
              <c:f>Hoja1!$B$2:$B$9</c:f>
              <c:numCache>
                <c:formatCode>#,##0.0_ ;[Red]\-#,##0.0\ </c:formatCode>
                <c:ptCount val="8"/>
                <c:pt idx="0">
                  <c:v>7357.1491783699958</c:v>
                </c:pt>
                <c:pt idx="1">
                  <c:v>2685.4936138899993</c:v>
                </c:pt>
                <c:pt idx="2">
                  <c:v>1865.5799644699982</c:v>
                </c:pt>
                <c:pt idx="3">
                  <c:v>1765.8395546699976</c:v>
                </c:pt>
                <c:pt idx="4">
                  <c:v>986.31990213000017</c:v>
                </c:pt>
                <c:pt idx="5">
                  <c:v>596.68467790999966</c:v>
                </c:pt>
                <c:pt idx="6">
                  <c:v>545.20550436999929</c:v>
                </c:pt>
                <c:pt idx="7">
                  <c:v>-1087.9740390700001</c:v>
                </c:pt>
              </c:numCache>
            </c:numRef>
          </c:val>
          <c:extLst>
            <c:ext xmlns:c14="http://schemas.microsoft.com/office/drawing/2007/8/2/chart" uri="{6F2FDCE9-48DA-4B69-8628-5D25D57E5C99}">
              <c14:invertSolidFillFmt>
                <c14:spPr xmlns:c14="http://schemas.microsoft.com/office/drawing/2007/8/2/chart">
                  <a:solidFill>
                    <a:srgbClr val="FF0000"/>
                  </a:solidFill>
                  <a:ln>
                    <a:solidFill>
                      <a:sysClr val="windowText" lastClr="000000"/>
                    </a:solidFill>
                  </a:ln>
                  <a:effectLst>
                    <a:outerShdw blurRad="50800" dist="38100" dir="18900000" algn="bl" rotWithShape="0">
                      <a:prstClr val="black">
                        <a:alpha val="40000"/>
                      </a:prstClr>
                    </a:outerShdw>
                  </a:effectLst>
                  <a:scene3d>
                    <a:camera prst="orthographicFront"/>
                    <a:lightRig rig="threePt" dir="t">
                      <a:rot lat="0" lon="0" rev="1200000"/>
                    </a:lightRig>
                  </a:scene3d>
                  <a:sp3d/>
                </c14:spPr>
              </c14:invertSolidFillFmt>
            </c:ext>
            <c:ext xmlns:c16="http://schemas.microsoft.com/office/drawing/2014/chart" uri="{C3380CC4-5D6E-409C-BE32-E72D297353CC}">
              <c16:uniqueId val="{00000003-DE00-4EA7-9C72-EB9A7ED39A91}"/>
            </c:ext>
          </c:extLst>
        </c:ser>
        <c:dLbls>
          <c:showLegendKey val="0"/>
          <c:showVal val="0"/>
          <c:showCatName val="0"/>
          <c:showSerName val="0"/>
          <c:showPercent val="0"/>
          <c:showBubbleSize val="0"/>
        </c:dLbls>
        <c:gapWidth val="100"/>
        <c:overlap val="-24"/>
        <c:axId val="596122768"/>
        <c:axId val="317412256"/>
      </c:barChart>
      <c:catAx>
        <c:axId val="596122768"/>
        <c:scaling>
          <c:orientation val="minMax"/>
        </c:scaling>
        <c:delete val="0"/>
        <c:axPos val="b"/>
        <c:majorGridlines>
          <c:spPr>
            <a:ln w="9525" cap="flat" cmpd="sng" algn="ctr">
              <a:solidFill>
                <a:schemeClr val="tx1">
                  <a:lumMod val="15000"/>
                  <a:lumOff val="85000"/>
                </a:schemeClr>
              </a:solidFill>
              <a:round/>
            </a:ln>
            <a:effectLst/>
          </c:spPr>
        </c:majorGridlines>
        <c:numFmt formatCode="@" sourceLinked="0"/>
        <c:majorTickMark val="none"/>
        <c:minorTickMark val="none"/>
        <c:tickLblPos val="low"/>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17412256"/>
        <c:crosses val="autoZero"/>
        <c:auto val="0"/>
        <c:lblAlgn val="ctr"/>
        <c:lblOffset val="100"/>
        <c:noMultiLvlLbl val="0"/>
      </c:catAx>
      <c:valAx>
        <c:axId val="317412256"/>
        <c:scaling>
          <c:orientation val="minMax"/>
        </c:scaling>
        <c:delete val="1"/>
        <c:axPos val="l"/>
        <c:numFmt formatCode="#,##0.0_ ;[Red]\-#,##0.0\ " sourceLinked="1"/>
        <c:majorTickMark val="none"/>
        <c:minorTickMark val="none"/>
        <c:tickLblPos val="nextTo"/>
        <c:crossAx val="596122768"/>
        <c:crosses val="autoZero"/>
        <c:crossBetween val="between"/>
      </c:valAx>
      <c:spPr>
        <a:gradFill>
          <a:gsLst>
            <a:gs pos="0">
              <a:schemeClr val="accent1">
                <a:lumMod val="5000"/>
                <a:lumOff val="95000"/>
              </a:schemeClr>
            </a:gs>
            <a:gs pos="56000">
              <a:schemeClr val="bg1">
                <a:lumMod val="95000"/>
              </a:schemeClr>
            </a:gs>
            <a:gs pos="100000">
              <a:schemeClr val="bg1"/>
            </a:gs>
          </a:gsLst>
          <a:lin ang="5400000" scaled="1"/>
        </a:grad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sz="1200" b="1" i="0" baseline="0">
                <a:solidFill>
                  <a:sysClr val="windowText" lastClr="000000"/>
                </a:solidFill>
                <a:effectLst/>
              </a:rPr>
              <a:t>Inversión bruta en activos no financieros</a:t>
            </a:r>
            <a:endParaRPr lang="es-GT" sz="1200">
              <a:solidFill>
                <a:sysClr val="windowText" lastClr="000000"/>
              </a:solidFill>
              <a:effectLst/>
            </a:endParaRPr>
          </a:p>
          <a:p>
            <a:pPr>
              <a:defRPr/>
            </a:pPr>
            <a:r>
              <a:rPr lang="en-US" sz="1100" b="1" i="0" baseline="0">
                <a:solidFill>
                  <a:sysClr val="windowText" lastClr="000000"/>
                </a:solidFill>
                <a:effectLst/>
              </a:rPr>
              <a:t>Cifra acumulada a junio de cada año</a:t>
            </a:r>
            <a:endParaRPr lang="es-GT" sz="1100">
              <a:solidFill>
                <a:sysClr val="windowText" lastClr="000000"/>
              </a:solidFill>
              <a:effectLst/>
            </a:endParaRPr>
          </a:p>
          <a:p>
            <a:pPr>
              <a:defRPr/>
            </a:pPr>
            <a:r>
              <a:rPr lang="en-US" sz="1000" b="0" i="0" baseline="0">
                <a:solidFill>
                  <a:sysClr val="windowText" lastClr="000000"/>
                </a:solidFill>
                <a:effectLst/>
              </a:rPr>
              <a:t>En millones de Quetzales</a:t>
            </a:r>
            <a:endParaRPr lang="es-GT" sz="1000">
              <a:solidFill>
                <a:sysClr val="windowText" lastClr="000000"/>
              </a:solidFill>
              <a:effectLst/>
            </a:endParaRPr>
          </a:p>
        </c:rich>
      </c:tx>
      <c:layout>
        <c:manualLayout>
          <c:xMode val="edge"/>
          <c:yMode val="edge"/>
          <c:x val="0.24667278760405448"/>
          <c:y val="0"/>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
          <c:y val="0.26753937007874018"/>
          <c:w val="1"/>
          <c:h val="0.52391525072523837"/>
        </c:manualLayout>
      </c:layout>
      <c:barChart>
        <c:barDir val="col"/>
        <c:grouping val="clustered"/>
        <c:varyColors val="0"/>
        <c:ser>
          <c:idx val="0"/>
          <c:order val="0"/>
          <c:tx>
            <c:strRef>
              <c:f>Hoja1!$A$2</c:f>
              <c:strCache>
                <c:ptCount val="1"/>
                <c:pt idx="0">
                  <c:v>Inversión neta/bruta en activos no financieros </c:v>
                </c:pt>
              </c:strCache>
            </c:strRef>
          </c:tx>
          <c:spPr>
            <a:solidFill>
              <a:schemeClr val="accent3">
                <a:lumMod val="60000"/>
                <a:lumOff val="40000"/>
              </a:schemeClr>
            </a:solidFill>
            <a:ln>
              <a:solidFill>
                <a:sysClr val="windowText" lastClr="000000"/>
              </a:solidFill>
            </a:ln>
            <a:effectLst>
              <a:outerShdw blurRad="50800" dist="38100" dir="18900000" algn="b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Hoja1!$B$1:$F$1</c:f>
              <c:strCache>
                <c:ptCount val="5"/>
                <c:pt idx="0">
                  <c:v>2023*</c:v>
                </c:pt>
                <c:pt idx="1">
                  <c:v>2022</c:v>
                </c:pt>
                <c:pt idx="2">
                  <c:v>2021</c:v>
                </c:pt>
                <c:pt idx="3">
                  <c:v>2020</c:v>
                </c:pt>
                <c:pt idx="4">
                  <c:v>2019</c:v>
                </c:pt>
              </c:strCache>
            </c:strRef>
          </c:cat>
          <c:val>
            <c:numRef>
              <c:f>Hoja1!$B$2:$F$2</c:f>
              <c:numCache>
                <c:formatCode>#,##0.0_ ;[Red]\-#,##0.0\ </c:formatCode>
                <c:ptCount val="5"/>
                <c:pt idx="0">
                  <c:v>2421.6054401199999</c:v>
                </c:pt>
                <c:pt idx="1">
                  <c:v>1752.7814587100002</c:v>
                </c:pt>
                <c:pt idx="2">
                  <c:v>1430.6635600900001</c:v>
                </c:pt>
                <c:pt idx="3">
                  <c:v>1347.6265907699999</c:v>
                </c:pt>
                <c:pt idx="4">
                  <c:v>2053.41872044</c:v>
                </c:pt>
              </c:numCache>
            </c:numRef>
          </c:val>
          <c:extLst>
            <c:ext xmlns:c16="http://schemas.microsoft.com/office/drawing/2014/chart" uri="{C3380CC4-5D6E-409C-BE32-E72D297353CC}">
              <c16:uniqueId val="{00000000-B1F7-4409-B6F7-70C99837FA20}"/>
            </c:ext>
          </c:extLst>
        </c:ser>
        <c:dLbls>
          <c:showLegendKey val="0"/>
          <c:showVal val="0"/>
          <c:showCatName val="0"/>
          <c:showSerName val="0"/>
          <c:showPercent val="0"/>
          <c:showBubbleSize val="0"/>
        </c:dLbls>
        <c:gapWidth val="267"/>
        <c:overlap val="-43"/>
        <c:axId val="1557017296"/>
        <c:axId val="470887616"/>
      </c:barChart>
      <c:catAx>
        <c:axId val="1557017296"/>
        <c:scaling>
          <c:orientation val="maxMin"/>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470887616"/>
        <c:crosses val="autoZero"/>
        <c:auto val="1"/>
        <c:lblAlgn val="ctr"/>
        <c:lblOffset val="100"/>
        <c:noMultiLvlLbl val="0"/>
      </c:catAx>
      <c:valAx>
        <c:axId val="470887616"/>
        <c:scaling>
          <c:orientation val="minMax"/>
        </c:scaling>
        <c:delete val="1"/>
        <c:axPos val="r"/>
        <c:numFmt formatCode="#,##0.0_ ;[Red]\-#,##0.0\ " sourceLinked="1"/>
        <c:majorTickMark val="none"/>
        <c:minorTickMark val="none"/>
        <c:tickLblPos val="nextTo"/>
        <c:crossAx val="155701729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9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s-GT"/>
              <a:t>Flujo</a:t>
            </a:r>
            <a:r>
              <a:rPr lang="es-GT" baseline="0"/>
              <a:t> mensual  </a:t>
            </a:r>
          </a:p>
        </c:rich>
      </c:tx>
      <c:layout>
        <c:manualLayout>
          <c:xMode val="edge"/>
          <c:yMode val="edge"/>
          <c:x val="0.381879044856059"/>
          <c:y val="3.6825518900942419E-3"/>
        </c:manualLayout>
      </c:layout>
      <c:overlay val="0"/>
      <c:spPr>
        <a:noFill/>
        <a:ln>
          <a:noFill/>
        </a:ln>
        <a:effectLst/>
      </c:spPr>
      <c:txPr>
        <a:bodyPr rot="0" spcFirstLastPara="1" vertOverflow="ellipsis" vert="horz" wrap="square" anchor="ctr" anchorCtr="1"/>
        <a:lstStyle/>
        <a:p>
          <a:pPr algn="ctr">
            <a:defRPr sz="9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
          <c:y val="0.11162374305930002"/>
          <c:w val="0.88357685829344368"/>
          <c:h val="0.6518680817071778"/>
        </c:manualLayout>
      </c:layout>
      <c:barChart>
        <c:barDir val="col"/>
        <c:grouping val="clustered"/>
        <c:varyColors val="0"/>
        <c:ser>
          <c:idx val="0"/>
          <c:order val="0"/>
          <c:tx>
            <c:strRef>
              <c:f>Hoja1!$A$2</c:f>
              <c:strCache>
                <c:ptCount val="1"/>
                <c:pt idx="0">
                  <c:v>Adquicición neta de activos financieros</c:v>
                </c:pt>
              </c:strCache>
            </c:strRef>
          </c:tx>
          <c:spPr>
            <a:solidFill>
              <a:srgbClr val="9BBB59"/>
            </a:solidFill>
            <a:ln>
              <a:solidFill>
                <a:schemeClr val="tx1"/>
              </a:solidFill>
            </a:ln>
            <a:effectLst>
              <a:outerShdw blurRad="50800" dist="38100" dir="18900000" algn="bl" rotWithShape="0">
                <a:prstClr val="black">
                  <a:alpha val="40000"/>
                </a:prstClr>
              </a:outerShdw>
            </a:effectLst>
          </c:spPr>
          <c:invertIfNegative val="1"/>
          <c:dPt>
            <c:idx val="3"/>
            <c:invertIfNegative val="1"/>
            <c:bubble3D val="0"/>
            <c:extLst>
              <c:ext xmlns:c16="http://schemas.microsoft.com/office/drawing/2014/chart" uri="{C3380CC4-5D6E-409C-BE32-E72D297353CC}">
                <c16:uniqueId val="{00000000-3C81-493C-B45F-C43E75DECBB8}"/>
              </c:ext>
            </c:extLst>
          </c:dPt>
          <c:dPt>
            <c:idx val="6"/>
            <c:invertIfNegative val="1"/>
            <c:bubble3D val="0"/>
            <c:spPr>
              <a:solidFill>
                <a:schemeClr val="accent3">
                  <a:lumMod val="50000"/>
                </a:schemeClr>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2-3C81-493C-B45F-C43E75DECBB8}"/>
              </c:ext>
            </c:extLst>
          </c:dPt>
          <c:dPt>
            <c:idx val="9"/>
            <c:invertIfNegative val="1"/>
            <c:bubble3D val="0"/>
            <c:extLst>
              <c:ext xmlns:c16="http://schemas.microsoft.com/office/drawing/2014/chart" uri="{C3380CC4-5D6E-409C-BE32-E72D297353CC}">
                <c16:uniqueId val="{00000003-3C81-493C-B45F-C43E75DECBB8}"/>
              </c:ext>
            </c:extLst>
          </c:dPt>
          <c:dPt>
            <c:idx val="12"/>
            <c:invertIfNegative val="0"/>
            <c:bubble3D val="0"/>
            <c:spPr>
              <a:solidFill>
                <a:schemeClr val="tx2">
                  <a:lumMod val="75000"/>
                </a:schemeClr>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5-3C81-493C-B45F-C43E75DECBB8}"/>
              </c:ext>
            </c:extLst>
          </c:dPt>
          <c:dLbls>
            <c:dLbl>
              <c:idx val="0"/>
              <c:layout>
                <c:manualLayout>
                  <c:x val="0"/>
                  <c:y val="1.5261350629530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C81-493C-B45F-C43E75DECBB8}"/>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C81-493C-B45F-C43E75DECBB8}"/>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C81-493C-B45F-C43E75DECBB8}"/>
                </c:ext>
              </c:extLst>
            </c:dLbl>
            <c:dLbl>
              <c:idx val="3"/>
              <c:layout>
                <c:manualLayout>
                  <c:x val="0"/>
                  <c:y val="-2.79356742717667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81-493C-B45F-C43E75DECBB8}"/>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C81-493C-B45F-C43E75DECBB8}"/>
                </c:ext>
              </c:extLst>
            </c:dLbl>
            <c:dLbl>
              <c:idx val="5"/>
              <c:layout>
                <c:manualLayout>
                  <c:x val="0"/>
                  <c:y val="2.50626669575356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C81-493C-B45F-C43E75DECBB8}"/>
                </c:ext>
              </c:extLst>
            </c:dLbl>
            <c:dLbl>
              <c:idx val="6"/>
              <c:numFmt formatCode="#,##0.0_ ;[Red]\-#,##0.0\ " sourceLinked="0"/>
              <c:spPr>
                <a:noFill/>
                <a:ln>
                  <a:noFill/>
                </a:ln>
                <a:effectLst/>
              </c:spPr>
              <c:txPr>
                <a:bodyPr rot="0" spcFirstLastPara="1" vertOverflow="ellipsis" vert="horz" wrap="square" anchor="ctr" anchorCtr="1"/>
                <a:lstStyle/>
                <a:p>
                  <a:pPr>
                    <a:defRPr sz="7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81-493C-B45F-C43E75DECBB8}"/>
                </c:ext>
              </c:extLst>
            </c:dLbl>
            <c:dLbl>
              <c:idx val="7"/>
              <c:layout>
                <c:manualLayout>
                  <c:x val="0"/>
                  <c:y val="-7.6867351852842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C81-493C-B45F-C43E75DECBB8}"/>
                </c:ext>
              </c:extLst>
            </c:dLbl>
            <c:dLbl>
              <c:idx val="8"/>
              <c:layout>
                <c:manualLayout>
                  <c:x val="4.4633196360658999E-3"/>
                  <c:y val="8.79189630830908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C81-493C-B45F-C43E75DECBB8}"/>
                </c:ext>
              </c:extLst>
            </c:dLbl>
            <c:dLbl>
              <c:idx val="9"/>
              <c:layout>
                <c:manualLayout>
                  <c:x val="0"/>
                  <c:y val="1.418136686402571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81-493C-B45F-C43E75DECBB8}"/>
                </c:ext>
              </c:extLst>
            </c:dLbl>
            <c:dLbl>
              <c:idx val="10"/>
              <c:layout>
                <c:manualLayout>
                  <c:x val="0"/>
                  <c:y val="1.52613506295307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C81-493C-B45F-C43E75DECBB8}"/>
                </c:ext>
              </c:extLst>
            </c:dLbl>
            <c:dLbl>
              <c:idx val="11"/>
              <c:layout>
                <c:manualLayout>
                  <c:x val="-3.8439361906592348E-2"/>
                  <c:y val="1.1922928238621335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C81-493C-B45F-C43E75DECBB8}"/>
                </c:ext>
              </c:extLst>
            </c:dLbl>
            <c:dLbl>
              <c:idx val="12"/>
              <c:layout>
                <c:manualLayout>
                  <c:x val="1.9219680953296174E-2"/>
                  <c:y val="5.1712140633584543E-3"/>
                </c:manualLayout>
              </c:layout>
              <c:numFmt formatCode="#,##0.0_ ;[Red]\-#,##0.0\ " sourceLinked="0"/>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C81-493C-B45F-C43E75DECBB8}"/>
                </c:ext>
              </c:extLst>
            </c:dLbl>
            <c:numFmt formatCode="#,##0.0_ ;[Red]\-#,##0.0\ " sourceLinked="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Hoja1!$B$1:$H$1</c:f>
              <c:strCache>
                <c:ptCount val="7"/>
                <c:pt idx="0">
                  <c:v>Enero</c:v>
                </c:pt>
                <c:pt idx="1">
                  <c:v>Febrero</c:v>
                </c:pt>
                <c:pt idx="2">
                  <c:v>Marzo</c:v>
                </c:pt>
                <c:pt idx="3">
                  <c:v>Abril</c:v>
                </c:pt>
                <c:pt idx="4">
                  <c:v>Mayo</c:v>
                </c:pt>
                <c:pt idx="5">
                  <c:v>Junio</c:v>
                </c:pt>
                <c:pt idx="6">
                  <c:v>Total</c:v>
                </c:pt>
              </c:strCache>
            </c:strRef>
          </c:cat>
          <c:val>
            <c:numRef>
              <c:f>Hoja1!$B$2:$H$2</c:f>
              <c:numCache>
                <c:formatCode>#,##0.00</c:formatCode>
                <c:ptCount val="7"/>
                <c:pt idx="0">
                  <c:v>1058.9227857199999</c:v>
                </c:pt>
                <c:pt idx="1">
                  <c:v>-2829.2573028699994</c:v>
                </c:pt>
                <c:pt idx="2">
                  <c:v>-1698.92057161</c:v>
                </c:pt>
                <c:pt idx="3">
                  <c:v>-1536.94875168</c:v>
                </c:pt>
                <c:pt idx="4">
                  <c:v>-307.59606222000002</c:v>
                </c:pt>
                <c:pt idx="5">
                  <c:v>5835.03390038</c:v>
                </c:pt>
                <c:pt idx="6">
                  <c:v>521.23399772000084</c:v>
                </c:pt>
              </c:numCache>
            </c:numRef>
          </c:val>
          <c:extLst>
            <c:ext xmlns:c14="http://schemas.microsoft.com/office/drawing/2007/8/2/chart" uri="{6F2FDCE9-48DA-4B69-8628-5D25D57E5C99}">
              <c14:invertSolidFillFmt>
                <c14:spPr xmlns:c14="http://schemas.microsoft.com/office/drawing/2007/8/2/chart">
                  <a:solidFill>
                    <a:srgbClr val="C00000"/>
                  </a:solidFill>
                  <a:ln>
                    <a:solidFill>
                      <a:schemeClr val="tx1"/>
                    </a:solidFill>
                  </a:ln>
                  <a:effectLst>
                    <a:outerShdw blurRad="50800" dist="38100" dir="18900000" algn="bl" rotWithShape="0">
                      <a:prstClr val="black">
                        <a:alpha val="40000"/>
                      </a:prstClr>
                    </a:outerShdw>
                  </a:effectLst>
                </c14:spPr>
              </c14:invertSolidFillFmt>
            </c:ext>
            <c:ext xmlns:c16="http://schemas.microsoft.com/office/drawing/2014/chart" uri="{C3380CC4-5D6E-409C-BE32-E72D297353CC}">
              <c16:uniqueId val="{0000000F-3C81-493C-B45F-C43E75DECBB8}"/>
            </c:ext>
          </c:extLst>
        </c:ser>
        <c:dLbls>
          <c:dLblPos val="inEnd"/>
          <c:showLegendKey val="0"/>
          <c:showVal val="1"/>
          <c:showCatName val="0"/>
          <c:showSerName val="0"/>
          <c:showPercent val="0"/>
          <c:showBubbleSize val="0"/>
        </c:dLbls>
        <c:gapWidth val="83"/>
        <c:overlap val="7"/>
        <c:axId val="152970912"/>
        <c:axId val="152969984"/>
      </c:barChart>
      <c:catAx>
        <c:axId val="152970912"/>
        <c:scaling>
          <c:orientation val="minMax"/>
        </c:scaling>
        <c:delete val="0"/>
        <c:axPos val="b"/>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5000"/>
                  <a:lumOff val="95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152969984"/>
        <c:crosses val="autoZero"/>
        <c:auto val="1"/>
        <c:lblAlgn val="ctr"/>
        <c:lblOffset val="100"/>
        <c:noMultiLvlLbl val="0"/>
      </c:catAx>
      <c:valAx>
        <c:axId val="152969984"/>
        <c:scaling>
          <c:orientation val="minMax"/>
          <c:min val="-3900"/>
        </c:scaling>
        <c:delete val="0"/>
        <c:axPos val="l"/>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2970912"/>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s-GT" sz="1000"/>
              <a:t>Por</a:t>
            </a:r>
            <a:r>
              <a:rPr lang="es-GT" sz="1000" baseline="0"/>
              <a:t> tipo de instrumento</a:t>
            </a:r>
          </a:p>
          <a:p>
            <a:pPr>
              <a:defRPr b="1">
                <a:solidFill>
                  <a:schemeClr val="tx1"/>
                </a:solidFill>
              </a:defRPr>
            </a:pPr>
            <a:r>
              <a:rPr lang="es-GT" sz="1000" baseline="0"/>
              <a:t>Cifra acumulada</a:t>
            </a:r>
            <a:endParaRPr lang="es-GT" sz="1000"/>
          </a:p>
        </c:rich>
      </c:tx>
      <c:layout>
        <c:manualLayout>
          <c:xMode val="edge"/>
          <c:yMode val="edge"/>
          <c:x val="0.22472140909108393"/>
          <c:y val="0"/>
        </c:manualLayout>
      </c:layout>
      <c:overlay val="0"/>
      <c:spPr>
        <a:noFill/>
        <a:ln>
          <a:noFill/>
        </a:ln>
        <a:effectLst/>
      </c:spPr>
      <c:txPr>
        <a:bodyPr rot="0" spcFirstLastPara="1" vertOverflow="ellipsis" vert="horz" wrap="square" anchor="ctr" anchorCtr="1"/>
        <a:lstStyle/>
        <a:p>
          <a:pPr>
            <a:defRPr sz="20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3.9653035935563817E-2"/>
          <c:y val="0.29054059942111982"/>
          <c:w val="0.62471055430338851"/>
          <c:h val="0.66421794113680444"/>
        </c:manualLayout>
      </c:layout>
      <c:pieChart>
        <c:varyColors val="1"/>
        <c:ser>
          <c:idx val="0"/>
          <c:order val="0"/>
          <c:tx>
            <c:strRef>
              <c:f>Hoja1!$B$1</c:f>
              <c:strCache>
                <c:ptCount val="1"/>
                <c:pt idx="0">
                  <c:v>Diciembre</c:v>
                </c:pt>
              </c:strCache>
            </c:strRef>
          </c:tx>
          <c:spPr>
            <a:ln>
              <a:solidFill>
                <a:schemeClr val="tx1"/>
              </a:solidFill>
            </a:ln>
            <a:effectLst>
              <a:outerShdw blurRad="50800" dist="38100" dir="18900000" algn="bl" rotWithShape="0">
                <a:prstClr val="black">
                  <a:alpha val="40000"/>
                </a:prstClr>
              </a:outerShdw>
            </a:effectLst>
          </c:spPr>
          <c:explosion val="2"/>
          <c:dPt>
            <c:idx val="0"/>
            <c:bubble3D val="0"/>
            <c:explosion val="0"/>
            <c:spPr>
              <a:solidFill>
                <a:schemeClr val="accent1"/>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8D28-46B3-A4D9-D6685D59C05E}"/>
              </c:ext>
            </c:extLst>
          </c:dPt>
          <c:dPt>
            <c:idx val="1"/>
            <c:bubble3D val="0"/>
            <c:spPr>
              <a:solidFill>
                <a:schemeClr val="accent2"/>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3-8D28-46B3-A4D9-D6685D59C05E}"/>
              </c:ext>
            </c:extLst>
          </c:dPt>
          <c:dPt>
            <c:idx val="2"/>
            <c:bubble3D val="0"/>
            <c:explosion val="0"/>
            <c:spPr>
              <a:solidFill>
                <a:schemeClr val="accent3"/>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5-8D28-46B3-A4D9-D6685D59C05E}"/>
              </c:ext>
            </c:extLst>
          </c:dPt>
          <c:dLbls>
            <c:dLbl>
              <c:idx val="0"/>
              <c:layout>
                <c:manualLayout>
                  <c:x val="0.37447589497409484"/>
                  <c:y val="-0.38696926625583422"/>
                </c:manualLayout>
              </c:layout>
              <c:tx>
                <c:rich>
                  <a:bodyPr/>
                  <a:lstStyle/>
                  <a:p>
                    <a:fld id="{DC3ECB95-8660-484B-8DBA-8FFFA2B3DF23}" type="CATEGORYNAME">
                      <a:rPr lang="en-US"/>
                      <a:pPr/>
                      <a:t>[NOMBRE DE CATEGORÍA]</a:t>
                    </a:fld>
                    <a:r>
                      <a:rPr lang="en-US" baseline="0"/>
                      <a:t>
</a:t>
                    </a:r>
                    <a:fld id="{2475ACC2-5FE9-40EC-AD17-6949D8164250}" type="VALUE">
                      <a:rPr lang="en-US" baseline="0"/>
                      <a:pPr/>
                      <a:t>[VALOR]</a:t>
                    </a:fld>
                    <a:r>
                      <a:rPr lang="en-US" baseline="0"/>
                      <a:t>
</a:t>
                    </a:r>
                    <a:fld id="{F0E8D96C-0634-4E13-879C-2B88D45A5256}" type="CELLREF">
                      <a:rPr lang="en-US" baseline="0"/>
                      <a:pPr/>
                      <a:t>[CELLREF]</a:t>
                    </a:fld>
                    <a:endParaRPr lang="en-US" baseline="0"/>
                  </a:p>
                </c:rich>
              </c:tx>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54876094019846033"/>
                      <c:h val="0.20605479520107306"/>
                    </c:manualLayout>
                  </c15:layout>
                  <c15:dlblFieldTable>
                    <c15:dlblFTEntry>
                      <c15:txfldGUID>{F0E8D96C-0634-4E13-879C-2B88D45A5256}</c15:txfldGUID>
                      <c15:f>Hoja1!$C$2</c15:f>
                      <c15:dlblFieldTableCache>
                        <c:ptCount val="1"/>
                        <c:pt idx="0">
                          <c:v>105.6%</c:v>
                        </c:pt>
                      </c15:dlblFieldTableCache>
                    </c15:dlblFTEntry>
                  </c15:dlblFieldTable>
                  <c15:showDataLabelsRange val="0"/>
                </c:ext>
                <c:ext xmlns:c16="http://schemas.microsoft.com/office/drawing/2014/chart" uri="{C3380CC4-5D6E-409C-BE32-E72D297353CC}">
                  <c16:uniqueId val="{00000001-8D28-46B3-A4D9-D6685D59C05E}"/>
                </c:ext>
              </c:extLst>
            </c:dLbl>
            <c:dLbl>
              <c:idx val="1"/>
              <c:layout>
                <c:manualLayout>
                  <c:x val="2.36148269570392E-2"/>
                  <c:y val="1.5526713127129617E-3"/>
                </c:manualLayout>
              </c:layout>
              <c:tx>
                <c:rich>
                  <a:bodyPr/>
                  <a:lstStyle/>
                  <a:p>
                    <a:fld id="{C0631E71-BA3D-4443-A281-2C9FC532B5CD}" type="CATEGORYNAME">
                      <a:rPr lang="en-US"/>
                      <a:pPr/>
                      <a:t>[NOMBRE DE CATEGORÍA]</a:t>
                    </a:fld>
                    <a:r>
                      <a:rPr lang="en-US" baseline="0"/>
                      <a:t>
</a:t>
                    </a:r>
                    <a:fld id="{9B110C3B-ED12-465D-8831-4E9513E95931}" type="VALUE">
                      <a:rPr lang="en-US" baseline="0"/>
                      <a:pPr/>
                      <a:t>[VALOR]</a:t>
                    </a:fld>
                    <a:r>
                      <a:rPr lang="en-US" baseline="0"/>
                      <a:t>
</a:t>
                    </a:r>
                    <a:fld id="{5AE4D37B-34A8-4459-8CE2-DA6FA99CAD6A}" type="CELLREF">
                      <a:rPr lang="en-US" baseline="0"/>
                      <a:pPr/>
                      <a:t>[CELLREF]</a:t>
                    </a:fld>
                    <a:endParaRPr lang="en-US" baseline="0"/>
                  </a:p>
                </c:rich>
              </c:tx>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23509488823190783"/>
                      <c:h val="0.22573933778782385"/>
                    </c:manualLayout>
                  </c15:layout>
                  <c15:dlblFieldTable>
                    <c15:dlblFTEntry>
                      <c15:txfldGUID>{5AE4D37B-34A8-4459-8CE2-DA6FA99CAD6A}</c15:txfldGUID>
                      <c15:f>Hoja1!$C$3</c15:f>
                      <c15:dlblFieldTableCache>
                        <c:ptCount val="1"/>
                        <c:pt idx="0">
                          <c:v>-5.6%</c:v>
                        </c:pt>
                      </c15:dlblFieldTableCache>
                    </c15:dlblFTEntry>
                  </c15:dlblFieldTable>
                  <c15:showDataLabelsRange val="0"/>
                </c:ext>
                <c:ext xmlns:c16="http://schemas.microsoft.com/office/drawing/2014/chart" uri="{C3380CC4-5D6E-409C-BE32-E72D297353CC}">
                  <c16:uniqueId val="{00000003-8D28-46B3-A4D9-D6685D59C05E}"/>
                </c:ext>
              </c:extLst>
            </c:dLbl>
            <c:dLbl>
              <c:idx val="2"/>
              <c:layout>
                <c:manualLayout>
                  <c:x val="-2.9101659690308229E-2"/>
                  <c:y val="2.6110755590180203E-2"/>
                </c:manualLayout>
              </c:layout>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40491643005590838"/>
                      <c:h val="0.25384713836565476"/>
                    </c:manualLayout>
                  </c15:layout>
                </c:ext>
                <c:ext xmlns:c16="http://schemas.microsoft.com/office/drawing/2014/chart" uri="{C3380CC4-5D6E-409C-BE32-E72D297353CC}">
                  <c16:uniqueId val="{00000005-8D28-46B3-A4D9-D6685D59C05E}"/>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bestFit"/>
            <c:showLegendKey val="1"/>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Hoja1!$A$2:$A$4</c:f>
              <c:strCache>
                <c:ptCount val="3"/>
                <c:pt idx="0">
                  <c:v>Billetes, monedas y depósitos</c:v>
                </c:pt>
                <c:pt idx="1">
                  <c:v>Préstamos</c:v>
                </c:pt>
                <c:pt idx="2">
                  <c:v>Participaciones de capital y en fondos de inversión</c:v>
                </c:pt>
              </c:strCache>
            </c:strRef>
          </c:cat>
          <c:val>
            <c:numRef>
              <c:f>Hoja1!$B$2:$B$4</c:f>
              <c:numCache>
                <c:formatCode>"Q"#,##0.0</c:formatCode>
                <c:ptCount val="3"/>
                <c:pt idx="0">
                  <c:v>550.3776924699996</c:v>
                </c:pt>
                <c:pt idx="1">
                  <c:v>-29.143694750000002</c:v>
                </c:pt>
              </c:numCache>
            </c:numRef>
          </c:val>
          <c:extLst>
            <c:ext xmlns:c16="http://schemas.microsoft.com/office/drawing/2014/chart" uri="{C3380CC4-5D6E-409C-BE32-E72D297353CC}">
              <c16:uniqueId val="{00000006-8D28-46B3-A4D9-D6685D59C05E}"/>
            </c:ext>
          </c:extLst>
        </c:ser>
        <c:ser>
          <c:idx val="1"/>
          <c:order val="1"/>
          <c:tx>
            <c:strRef>
              <c:f>Hoja1!$C$1</c:f>
              <c:strCache>
                <c:ptCount val="1"/>
                <c:pt idx="0">
                  <c:v>Columna1</c:v>
                </c:pt>
              </c:strCache>
            </c:strRef>
          </c:tx>
          <c:dPt>
            <c:idx val="0"/>
            <c:bubble3D val="0"/>
            <c:spPr>
              <a:solidFill>
                <a:schemeClr val="accent1"/>
              </a:solidFill>
              <a:ln>
                <a:noFill/>
              </a:ln>
              <a:effectLst/>
            </c:spPr>
            <c:extLst>
              <c:ext xmlns:c16="http://schemas.microsoft.com/office/drawing/2014/chart" uri="{C3380CC4-5D6E-409C-BE32-E72D297353CC}">
                <c16:uniqueId val="{00000008-8D28-46B3-A4D9-D6685D59C05E}"/>
              </c:ext>
            </c:extLst>
          </c:dPt>
          <c:dPt>
            <c:idx val="1"/>
            <c:bubble3D val="0"/>
            <c:spPr>
              <a:solidFill>
                <a:schemeClr val="accent2"/>
              </a:solidFill>
              <a:ln>
                <a:noFill/>
              </a:ln>
              <a:effectLst/>
            </c:spPr>
            <c:extLst>
              <c:ext xmlns:c16="http://schemas.microsoft.com/office/drawing/2014/chart" uri="{C3380CC4-5D6E-409C-BE32-E72D297353CC}">
                <c16:uniqueId val="{0000000A-8D28-46B3-A4D9-D6685D59C05E}"/>
              </c:ext>
            </c:extLst>
          </c:dPt>
          <c:dPt>
            <c:idx val="2"/>
            <c:bubble3D val="0"/>
            <c:spPr>
              <a:solidFill>
                <a:schemeClr val="accent3"/>
              </a:solidFill>
              <a:ln>
                <a:noFill/>
              </a:ln>
              <a:effectLst/>
            </c:spPr>
            <c:extLst>
              <c:ext xmlns:c16="http://schemas.microsoft.com/office/drawing/2014/chart" uri="{C3380CC4-5D6E-409C-BE32-E72D297353CC}">
                <c16:uniqueId val="{0000000C-8D28-46B3-A4D9-D6685D59C05E}"/>
              </c:ext>
            </c:extLst>
          </c:dPt>
          <c:cat>
            <c:strRef>
              <c:f>Hoja1!$A$2:$A$4</c:f>
              <c:strCache>
                <c:ptCount val="3"/>
                <c:pt idx="0">
                  <c:v>Billetes, monedas y depósitos</c:v>
                </c:pt>
                <c:pt idx="1">
                  <c:v>Préstamos</c:v>
                </c:pt>
                <c:pt idx="2">
                  <c:v>Participaciones de capital y en fondos de inversión</c:v>
                </c:pt>
              </c:strCache>
            </c:strRef>
          </c:cat>
          <c:val>
            <c:numRef>
              <c:f>Hoja1!$C$2:$C$4</c:f>
              <c:numCache>
                <c:formatCode>0.0%</c:formatCode>
                <c:ptCount val="3"/>
                <c:pt idx="0">
                  <c:v>1.0559128815032814</c:v>
                </c:pt>
                <c:pt idx="1">
                  <c:v>-5.5912881503281435E-2</c:v>
                </c:pt>
              </c:numCache>
            </c:numRef>
          </c:val>
          <c:extLst>
            <c:ext xmlns:c16="http://schemas.microsoft.com/office/drawing/2014/chart" uri="{C3380CC4-5D6E-409C-BE32-E72D297353CC}">
              <c16:uniqueId val="{0000000D-8D28-46B3-A4D9-D6685D59C05E}"/>
            </c:ext>
          </c:extLst>
        </c:ser>
        <c:dLbls>
          <c:showLegendKey val="0"/>
          <c:showVal val="0"/>
          <c:showCatName val="0"/>
          <c:showSerName val="0"/>
          <c:showPercent val="0"/>
          <c:showBubbleSize val="0"/>
          <c:showLeaderLines val="1"/>
        </c:dLbls>
        <c:firstSliceAng val="90"/>
      </c:pieChart>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n-US" sz="900" b="1" i="0">
                <a:solidFill>
                  <a:schemeClr val="tx1"/>
                </a:solidFill>
              </a:rPr>
              <a:t>Flujo Mensual</a:t>
            </a:r>
          </a:p>
        </c:rich>
      </c:tx>
      <c:layout>
        <c:manualLayout>
          <c:xMode val="edge"/>
          <c:yMode val="edge"/>
          <c:x val="0.35417726104549435"/>
          <c:y val="9.8328416912487702E-3"/>
        </c:manualLayout>
      </c:layout>
      <c:overlay val="0"/>
      <c:spPr>
        <a:noFill/>
        <a:ln>
          <a:noFill/>
        </a:ln>
        <a:effectLst/>
      </c:spPr>
      <c:txPr>
        <a:bodyPr rot="0" spcFirstLastPara="1" vertOverflow="ellipsis" vert="horz" wrap="square" anchor="ctr" anchorCtr="1"/>
        <a:lstStyle/>
        <a:p>
          <a:pPr algn="l">
            <a:defRPr sz="9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
          <c:y val="9.1218054436108878E-2"/>
          <c:w val="1"/>
          <c:h val="0.51978092521716523"/>
        </c:manualLayout>
      </c:layout>
      <c:barChart>
        <c:barDir val="col"/>
        <c:grouping val="clustered"/>
        <c:varyColors val="0"/>
        <c:ser>
          <c:idx val="0"/>
          <c:order val="0"/>
          <c:tx>
            <c:strRef>
              <c:f>Hoja1!$A$2</c:f>
              <c:strCache>
                <c:ptCount val="1"/>
                <c:pt idx="0">
                  <c:v>Categoría 1</c:v>
                </c:pt>
              </c:strCache>
            </c:strRef>
          </c:tx>
          <c:spPr>
            <a:noFill/>
            <a:ln>
              <a:noFill/>
            </a:ln>
            <a:effectLst/>
          </c:spPr>
          <c:invertIfNegative val="0"/>
          <c:dPt>
            <c:idx val="3"/>
            <c:invertIfNegative val="0"/>
            <c:bubble3D val="0"/>
            <c:spPr>
              <a:noFill/>
              <a:ln w="19050">
                <a:noFill/>
              </a:ln>
              <a:effectLst/>
            </c:spPr>
            <c:extLst>
              <c:ext xmlns:c16="http://schemas.microsoft.com/office/drawing/2014/chart" uri="{C3380CC4-5D6E-409C-BE32-E72D297353CC}">
                <c16:uniqueId val="{00000000-8EE9-417E-BC60-27B8348F8A95}"/>
              </c:ext>
            </c:extLst>
          </c:dPt>
          <c:dPt>
            <c:idx val="6"/>
            <c:invertIfNegative val="0"/>
            <c:bubble3D val="0"/>
            <c:spPr>
              <a:solidFill>
                <a:srgbClr val="FF0000"/>
              </a:solidFill>
              <a:ln w="19050">
                <a:solidFill>
                  <a:schemeClr val="tx1"/>
                </a:solidFill>
              </a:ln>
              <a:effectLst/>
            </c:spPr>
            <c:extLst>
              <c:ext xmlns:c16="http://schemas.microsoft.com/office/drawing/2014/chart" uri="{C3380CC4-5D6E-409C-BE32-E72D297353CC}">
                <c16:uniqueId val="{00000002-8EE9-417E-BC60-27B8348F8A95}"/>
              </c:ext>
            </c:extLst>
          </c:dPt>
          <c:dPt>
            <c:idx val="9"/>
            <c:invertIfNegative val="0"/>
            <c:bubble3D val="0"/>
            <c:spPr>
              <a:noFill/>
              <a:ln w="28575">
                <a:noFill/>
              </a:ln>
              <a:effectLst/>
            </c:spPr>
            <c:extLst>
              <c:ext xmlns:c16="http://schemas.microsoft.com/office/drawing/2014/chart" uri="{C3380CC4-5D6E-409C-BE32-E72D297353CC}">
                <c16:uniqueId val="{00000004-8EE9-417E-BC60-27B8348F8A95}"/>
              </c:ext>
            </c:extLst>
          </c:dPt>
          <c:dPt>
            <c:idx val="12"/>
            <c:invertIfNegative val="0"/>
            <c:bubble3D val="0"/>
            <c:spPr>
              <a:noFill/>
              <a:ln>
                <a:noFill/>
              </a:ln>
              <a:effectLst/>
            </c:spPr>
            <c:extLst>
              <c:ext xmlns:c16="http://schemas.microsoft.com/office/drawing/2014/chart" uri="{C3380CC4-5D6E-409C-BE32-E72D297353CC}">
                <c16:uniqueId val="{00000006-8EE9-417E-BC60-27B8348F8A95}"/>
              </c:ext>
            </c:extLst>
          </c:dPt>
          <c:dLbls>
            <c:dLbl>
              <c:idx val="6"/>
              <c:layout>
                <c:manualLayout>
                  <c:x val="0"/>
                  <c:y val="2.0587074587036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E9-417E-BC60-27B8348F8A95}"/>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Hoja1!$B$1:$H$1</c:f>
              <c:strCache>
                <c:ptCount val="7"/>
                <c:pt idx="0">
                  <c:v>Enero</c:v>
                </c:pt>
                <c:pt idx="1">
                  <c:v>Febrero</c:v>
                </c:pt>
                <c:pt idx="2">
                  <c:v>Marzo</c:v>
                </c:pt>
                <c:pt idx="3">
                  <c:v>Abril</c:v>
                </c:pt>
                <c:pt idx="4">
                  <c:v>Mayo</c:v>
                </c:pt>
                <c:pt idx="5">
                  <c:v>Junio</c:v>
                </c:pt>
                <c:pt idx="6">
                  <c:v>Total</c:v>
                </c:pt>
              </c:strCache>
            </c:strRef>
          </c:cat>
          <c:val>
            <c:numRef>
              <c:f>Hoja1!$B$2:$H$2</c:f>
              <c:numCache>
                <c:formatCode>_-* #,##0.0_-;\-* #,##0.0_-;_-* "-"??_-;_-@_-</c:formatCode>
                <c:ptCount val="7"/>
                <c:pt idx="0">
                  <c:v>-215.83104857999999</c:v>
                </c:pt>
                <c:pt idx="1">
                  <c:v>-1446.1343208799999</c:v>
                </c:pt>
                <c:pt idx="2">
                  <c:v>-266.71381174999999</c:v>
                </c:pt>
                <c:pt idx="3">
                  <c:v>-1058.8754252000001</c:v>
                </c:pt>
                <c:pt idx="4">
                  <c:v>172.42630532000004</c:v>
                </c:pt>
                <c:pt idx="5">
                  <c:v>7747.4710350799987</c:v>
                </c:pt>
                <c:pt idx="6">
                  <c:v>4932.342733989999</c:v>
                </c:pt>
              </c:numCache>
            </c:numRef>
          </c:val>
          <c:extLst>
            <c:ext xmlns:c16="http://schemas.microsoft.com/office/drawing/2014/chart" uri="{C3380CC4-5D6E-409C-BE32-E72D297353CC}">
              <c16:uniqueId val="{00000007-8EE9-417E-BC60-27B8348F8A95}"/>
            </c:ext>
          </c:extLst>
        </c:ser>
        <c:dLbls>
          <c:dLblPos val="inEnd"/>
          <c:showLegendKey val="0"/>
          <c:showVal val="1"/>
          <c:showCatName val="0"/>
          <c:showSerName val="0"/>
          <c:showPercent val="0"/>
          <c:showBubbleSize val="0"/>
        </c:dLbls>
        <c:gapWidth val="83"/>
        <c:overlap val="7"/>
        <c:axId val="152970912"/>
        <c:axId val="152969984"/>
      </c:barChart>
      <c:lineChart>
        <c:grouping val="standard"/>
        <c:varyColors val="0"/>
        <c:ser>
          <c:idx val="1"/>
          <c:order val="1"/>
          <c:tx>
            <c:strRef>
              <c:f>Hoja1!$A$3</c:f>
              <c:strCache>
                <c:ptCount val="1"/>
                <c:pt idx="0">
                  <c:v>Categoría 2</c:v>
                </c:pt>
              </c:strCache>
            </c:strRef>
          </c:tx>
          <c:spPr>
            <a:ln w="22225" cap="rnd">
              <a:noFill/>
              <a:round/>
            </a:ln>
            <a:effectLst>
              <a:outerShdw blurRad="50800" dist="38100" dir="18900000" algn="bl" rotWithShape="0">
                <a:prstClr val="black">
                  <a:alpha val="40000"/>
                </a:prstClr>
              </a:outerShdw>
            </a:effectLst>
          </c:spPr>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dPt>
            <c:idx val="0"/>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8-8EE9-417E-BC60-27B8348F8A95}"/>
              </c:ext>
            </c:extLst>
          </c:dPt>
          <c:dPt>
            <c:idx val="1"/>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9-8EE9-417E-BC60-27B8348F8A95}"/>
              </c:ext>
            </c:extLst>
          </c:dPt>
          <c:dPt>
            <c:idx val="2"/>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A-8EE9-417E-BC60-27B8348F8A95}"/>
              </c:ext>
            </c:extLst>
          </c:dPt>
          <c:dPt>
            <c:idx val="3"/>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B-8EE9-417E-BC60-27B8348F8A95}"/>
              </c:ext>
            </c:extLst>
          </c:dPt>
          <c:dPt>
            <c:idx val="4"/>
            <c:marker>
              <c:symbol val="circle"/>
              <c:size val="21"/>
              <c:spPr>
                <a:solidFill>
                  <a:schemeClr val="accent2">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14-4835-4678-8805-FE45DF1AF8D6}"/>
              </c:ext>
            </c:extLst>
          </c:dPt>
          <c:dPt>
            <c:idx val="5"/>
            <c:marker>
              <c:symbol val="circle"/>
              <c:size val="21"/>
              <c:spPr>
                <a:solidFill>
                  <a:schemeClr val="accent2">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C-8EE9-417E-BC60-27B8348F8A95}"/>
              </c:ext>
            </c:extLst>
          </c:dPt>
          <c:dPt>
            <c:idx val="6"/>
            <c:marker>
              <c:symbol val="circle"/>
              <c:size val="21"/>
              <c:spPr>
                <a:solidFill>
                  <a:schemeClr val="accent3">
                    <a:lumMod val="20000"/>
                    <a:lumOff val="80000"/>
                  </a:schemeClr>
                </a:solidFill>
                <a:ln w="15875">
                  <a:solidFill>
                    <a:schemeClr val="accent2"/>
                  </a:solidFill>
                  <a:round/>
                </a:ln>
                <a:effectLst/>
              </c:spPr>
            </c:marker>
            <c:bubble3D val="0"/>
            <c:spPr>
              <a:ln w="22225" cap="rnd">
                <a:noFill/>
                <a:round/>
              </a:ln>
              <a:effectLst/>
            </c:spPr>
            <c:extLst>
              <c:ext xmlns:c16="http://schemas.microsoft.com/office/drawing/2014/chart" uri="{C3380CC4-5D6E-409C-BE32-E72D297353CC}">
                <c16:uniqueId val="{0000000E-8EE9-417E-BC60-27B8348F8A95}"/>
              </c:ext>
            </c:extLst>
          </c:dPt>
          <c:dPt>
            <c:idx val="7"/>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F-8EE9-417E-BC60-27B8348F8A95}"/>
              </c:ext>
            </c:extLst>
          </c:dPt>
          <c:dPt>
            <c:idx val="8"/>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10-8EE9-417E-BC60-27B8348F8A95}"/>
              </c:ext>
            </c:extLst>
          </c:dPt>
          <c:dPt>
            <c:idx val="9"/>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11-8EE9-417E-BC60-27B8348F8A95}"/>
              </c:ext>
            </c:extLst>
          </c:dPt>
          <c:dPt>
            <c:idx val="10"/>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12-8EE9-417E-BC60-27B8348F8A95}"/>
              </c:ext>
            </c:extLst>
          </c:dPt>
          <c:dPt>
            <c:idx val="11"/>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13-8EE9-417E-BC60-27B8348F8A95}"/>
              </c:ext>
            </c:extLst>
          </c:dPt>
          <c:dLbls>
            <c:dLbl>
              <c:idx val="5"/>
              <c:layout>
                <c:manualLayout>
                  <c:x val="-9.3474426807760136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EE9-417E-BC60-27B8348F8A95}"/>
                </c:ext>
              </c:extLst>
            </c:dLbl>
            <c:dLbl>
              <c:idx val="12"/>
              <c:delete val="1"/>
              <c:extLst>
                <c:ext xmlns:c15="http://schemas.microsoft.com/office/drawing/2012/chart" uri="{CE6537A1-D6FC-4f65-9D91-7224C49458BB}"/>
                <c:ext xmlns:c16="http://schemas.microsoft.com/office/drawing/2014/chart" uri="{C3380CC4-5D6E-409C-BE32-E72D297353CC}">
                  <c16:uniqueId val="{00000014-8EE9-417E-BC60-27B8348F8A95}"/>
                </c:ext>
              </c:extLst>
            </c:dLbl>
            <c:numFmt formatCode="#,##0.0_ ;[Red]\-#,##0.0\ " sourceLinked="0"/>
            <c:spPr>
              <a:no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Hoja1!$B$1:$H$1</c:f>
              <c:strCache>
                <c:ptCount val="7"/>
                <c:pt idx="0">
                  <c:v>Enero</c:v>
                </c:pt>
                <c:pt idx="1">
                  <c:v>Febrero</c:v>
                </c:pt>
                <c:pt idx="2">
                  <c:v>Marzo</c:v>
                </c:pt>
                <c:pt idx="3">
                  <c:v>Abril</c:v>
                </c:pt>
                <c:pt idx="4">
                  <c:v>Mayo</c:v>
                </c:pt>
                <c:pt idx="5">
                  <c:v>Junio</c:v>
                </c:pt>
                <c:pt idx="6">
                  <c:v>Total</c:v>
                </c:pt>
              </c:strCache>
            </c:strRef>
          </c:cat>
          <c:val>
            <c:numRef>
              <c:f>Hoja1!$B$3:$H$3</c:f>
              <c:numCache>
                <c:formatCode>_-* #,##0.0_-;\-* #,##0.0_-;_-* "-"??_-;_-@_-</c:formatCode>
                <c:ptCount val="7"/>
                <c:pt idx="0">
                  <c:v>-215.83104857999999</c:v>
                </c:pt>
                <c:pt idx="1">
                  <c:v>-1446.1343208799999</c:v>
                </c:pt>
                <c:pt idx="2">
                  <c:v>-266.71381174999999</c:v>
                </c:pt>
                <c:pt idx="3">
                  <c:v>-1058.8754252000001</c:v>
                </c:pt>
                <c:pt idx="4">
                  <c:v>172.42630532000004</c:v>
                </c:pt>
                <c:pt idx="5">
                  <c:v>7747.4710350799987</c:v>
                </c:pt>
              </c:numCache>
            </c:numRef>
          </c:val>
          <c:smooth val="0"/>
          <c:extLst>
            <c:ext xmlns:c16="http://schemas.microsoft.com/office/drawing/2014/chart" uri="{C3380CC4-5D6E-409C-BE32-E72D297353CC}">
              <c16:uniqueId val="{00000015-8EE9-417E-BC60-27B8348F8A95}"/>
            </c:ext>
          </c:extLst>
        </c:ser>
        <c:dLbls>
          <c:showLegendKey val="0"/>
          <c:showVal val="0"/>
          <c:showCatName val="0"/>
          <c:showSerName val="0"/>
          <c:showPercent val="0"/>
          <c:showBubbleSize val="0"/>
        </c:dLbls>
        <c:marker val="1"/>
        <c:smooth val="0"/>
        <c:axId val="152970912"/>
        <c:axId val="152969984"/>
      </c:lineChart>
      <c:catAx>
        <c:axId val="152970912"/>
        <c:scaling>
          <c:orientation val="minMax"/>
        </c:scaling>
        <c:delete val="0"/>
        <c:axPos val="b"/>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5000"/>
                  <a:lumOff val="95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152969984"/>
        <c:crosses val="autoZero"/>
        <c:auto val="1"/>
        <c:lblAlgn val="ctr"/>
        <c:lblOffset val="100"/>
        <c:noMultiLvlLbl val="0"/>
      </c:catAx>
      <c:valAx>
        <c:axId val="152969984"/>
        <c:scaling>
          <c:orientation val="minMax"/>
        </c:scaling>
        <c:delete val="0"/>
        <c:axPos val="l"/>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2970912"/>
        <c:crosses val="autoZero"/>
        <c:crossBetween val="between"/>
        <c:minorUnit val="1000"/>
      </c:valAx>
      <c:spPr>
        <a:pattFill prst="ltDnDiag">
          <a:fgClr>
            <a:srgbClr val="000000">
              <a:alpha val="0"/>
            </a:srgbClr>
          </a:fgClr>
          <a:bgClr>
            <a:srgbClr val="FFFFFF"/>
          </a:bgClr>
        </a:patt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r>
            <a:rPr lang="en-US" sz="1000">
              <a:latin typeface="Times New Roman" panose="02020603050405020304" pitchFamily="18" charset="0"/>
              <a:cs typeface="Times New Roman" panose="02020603050405020304" pitchFamily="18" charset="0"/>
            </a:rPr>
            <a:t>Hay una diferencia importante entre la definición de "ingreso" en la metodología nacional y los es</a:t>
          </a:r>
          <a:r>
            <a:rPr lang="en-US" sz="1000">
              <a:solidFill>
                <a:sysClr val="windowText" lastClr="000000"/>
              </a:solidFill>
              <a:latin typeface="Times New Roman" panose="02020603050405020304" pitchFamily="18" charset="0"/>
              <a:cs typeface="Times New Roman" panose="02020603050405020304" pitchFamily="18" charset="0"/>
            </a:rPr>
            <a:t>tán</a:t>
          </a:r>
          <a:r>
            <a:rPr lang="en-US" sz="1000">
              <a:latin typeface="Times New Roman" panose="02020603050405020304" pitchFamily="18" charset="0"/>
              <a:cs typeface="Times New Roman" panose="02020603050405020304" pitchFamily="18" charset="0"/>
            </a:rPr>
            <a:t>dares internacionales. </a:t>
          </a:r>
          <a:r>
            <a:rPr lang="en-US" sz="1000" b="1">
              <a:latin typeface="Times New Roman" panose="02020603050405020304" pitchFamily="18" charset="0"/>
              <a:cs typeface="Times New Roman" panose="02020603050405020304" pitchFamily="18" charset="0"/>
            </a:rPr>
            <a:t>En los </a:t>
          </a:r>
          <a:r>
            <a:rPr lang="en-US" sz="1000" b="1" strike="noStrike">
              <a:solidFill>
                <a:sysClr val="windowText" lastClr="000000"/>
              </a:solidFill>
              <a:latin typeface="Times New Roman" panose="02020603050405020304" pitchFamily="18" charset="0"/>
              <a:cs typeface="Times New Roman" panose="02020603050405020304" pitchFamily="18" charset="0"/>
            </a:rPr>
            <a:t>estándares</a:t>
          </a:r>
          <a:r>
            <a:rPr lang="en-US" sz="1000" b="1">
              <a:latin typeface="Times New Roman" panose="02020603050405020304" pitchFamily="18" charset="0"/>
              <a:cs typeface="Times New Roman" panose="02020603050405020304" pitchFamily="18" charset="0"/>
            </a:rPr>
            <a:t> internacionales, un ingreso es un aumento del patrimonio neto como resultado de una transacción (MEFP 2014) </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dgm:presLayoutVars>
          <dgm:bulletEnabled val="1"/>
        </dgm:presLayoutVars>
      </dgm:prSet>
      <dgm:spPr/>
    </dgm:pt>
  </dgm:ptLst>
  <dgm:cxnLst>
    <dgm:cxn modelId="{2B97E307-DDDC-45DC-9CA7-632648FED3B9}" type="presOf" srcId="{01C29C0B-230A-4A2F-B7AB-59E88CC6B709}" destId="{1111B519-2F2F-4512-95FE-D2216303CCBE}" srcOrd="0" destOrd="0" presId="urn:microsoft.com/office/officeart/2005/8/layout/list1"/>
    <dgm:cxn modelId="{E9E7F310-CA62-40CB-950B-C2B09700E887}" type="presOf" srcId="{FF27429C-5B6E-468F-AF42-BE9281FF2A23}" destId="{7323760A-CAC8-432D-A020-F77BFA77D735}" srcOrd="0" destOrd="0"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CF9E1A65-553C-4315-9B4D-6922C5CF2185}" type="presOf" srcId="{68DFCB13-F778-41C4-88A6-8A8793BBCF6B}" destId="{377E1CD8-0067-463D-AA47-7581C029D7D4}" srcOrd="1" destOrd="0" presId="urn:microsoft.com/office/officeart/2005/8/layout/list1"/>
    <dgm:cxn modelId="{047B5950-955A-4E9C-890F-03A957F573F6}" srcId="{68DFCB13-F778-41C4-88A6-8A8793BBCF6B}" destId="{01C29C0B-230A-4A2F-B7AB-59E88CC6B709}" srcOrd="0" destOrd="0" parTransId="{BD00C7DA-D115-4DC8-96E9-9A8238F85148}" sibTransId="{65EB422C-F1D3-4985-A61D-252683A994E5}"/>
    <dgm:cxn modelId="{3FDC437B-7FEB-4570-9F57-FAA88171B111}" type="presOf" srcId="{68DFCB13-F778-41C4-88A6-8A8793BBCF6B}" destId="{374EA5B0-C6AD-46BF-9645-7F0ED252FE66}" srcOrd="0" destOrd="0" presId="urn:microsoft.com/office/officeart/2005/8/layout/list1"/>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pPr algn="just"/>
          <a:r>
            <a:rPr lang="en-US" sz="1000">
              <a:latin typeface="Times New Roman" panose="02020603050405020304" pitchFamily="18" charset="0"/>
              <a:cs typeface="Times New Roman" panose="02020603050405020304" pitchFamily="18" charset="0"/>
            </a:rPr>
            <a:t>Los "Gastos" en los estándares internacionales presentan mayores diferencias respecto a la información presentada en metodología nacional y es importante entender que estos no son comparables entre si. </a:t>
          </a:r>
          <a:r>
            <a:rPr lang="en-US" sz="1000" b="1">
              <a:latin typeface="Times New Roman" panose="02020603050405020304" pitchFamily="18" charset="0"/>
              <a:cs typeface="Times New Roman" panose="02020603050405020304" pitchFamily="18" charset="0"/>
            </a:rPr>
            <a:t>En los e</a:t>
          </a:r>
          <a:r>
            <a:rPr lang="en-US" sz="1000" b="1" strike="noStrike">
              <a:solidFill>
                <a:sysClr val="windowText" lastClr="000000"/>
              </a:solidFill>
              <a:latin typeface="Times New Roman" panose="02020603050405020304" pitchFamily="18" charset="0"/>
              <a:cs typeface="Times New Roman" panose="02020603050405020304" pitchFamily="18" charset="0"/>
            </a:rPr>
            <a:t>stándares</a:t>
          </a:r>
          <a:r>
            <a:rPr lang="en-US" sz="1000" b="1">
              <a:latin typeface="Times New Roman" panose="02020603050405020304" pitchFamily="18" charset="0"/>
              <a:cs typeface="Times New Roman" panose="02020603050405020304" pitchFamily="18" charset="0"/>
            </a:rPr>
            <a:t> internacionales, un gasto es una transacción que  disminuye el patrimonio neto del gobierno (MEFP 2014) </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2CC71809-35DE-431A-8E89-16EE3CBE8060}">
      <dgm:prSet phldrT="[Texto]" custT="1"/>
      <dgm:spPr/>
      <dgm:t>
        <a:bodyPr/>
        <a:lstStyle/>
        <a:p>
          <a:pPr algn="just"/>
          <a:endParaRPr lang="en-US" sz="1000" b="1">
            <a:latin typeface="Times New Roman" panose="02020603050405020304" pitchFamily="18" charset="0"/>
            <a:cs typeface="Times New Roman" panose="02020603050405020304" pitchFamily="18" charset="0"/>
          </a:endParaRPr>
        </a:p>
      </dgm:t>
    </dgm:pt>
    <dgm:pt modelId="{FB3419CE-7C14-4ADE-BDF0-3D966782548A}" type="parTrans" cxnId="{537138B4-325E-4E94-87BB-8E2AEB889CE3}">
      <dgm:prSet/>
      <dgm:spPr/>
      <dgm:t>
        <a:bodyPr/>
        <a:lstStyle/>
        <a:p>
          <a:endParaRPr lang="es-GT"/>
        </a:p>
      </dgm:t>
    </dgm:pt>
    <dgm:pt modelId="{8B785DAD-3895-49B6-A969-58089C321C73}" type="sibTrans" cxnId="{537138B4-325E-4E94-87BB-8E2AEB889CE3}">
      <dgm:prSet/>
      <dgm:spPr/>
      <dgm:t>
        <a:bodyPr/>
        <a:lstStyle/>
        <a:p>
          <a:endParaRPr lang="es-GT"/>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custLinFactY="-1552" custLinFactNeighborX="-34956" custLinFactNeighborY="-100000">
        <dgm:presLayoutVars>
          <dgm:bulletEnabled val="1"/>
        </dgm:presLayoutVars>
      </dgm:prSet>
      <dgm:spPr/>
    </dgm:pt>
  </dgm:ptLst>
  <dgm:cxnLst>
    <dgm:cxn modelId="{2B97E307-DDDC-45DC-9CA7-632648FED3B9}" type="presOf" srcId="{01C29C0B-230A-4A2F-B7AB-59E88CC6B709}" destId="{1111B519-2F2F-4512-95FE-D2216303CCBE}" srcOrd="0" destOrd="1" presId="urn:microsoft.com/office/officeart/2005/8/layout/list1"/>
    <dgm:cxn modelId="{E9E7F310-CA62-40CB-950B-C2B09700E887}" type="presOf" srcId="{FF27429C-5B6E-468F-AF42-BE9281FF2A23}" destId="{7323760A-CAC8-432D-A020-F77BFA77D735}" srcOrd="0" destOrd="0"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CF9E1A65-553C-4315-9B4D-6922C5CF2185}" type="presOf" srcId="{68DFCB13-F778-41C4-88A6-8A8793BBCF6B}" destId="{377E1CD8-0067-463D-AA47-7581C029D7D4}" srcOrd="1" destOrd="0" presId="urn:microsoft.com/office/officeart/2005/8/layout/list1"/>
    <dgm:cxn modelId="{047B5950-955A-4E9C-890F-03A957F573F6}" srcId="{68DFCB13-F778-41C4-88A6-8A8793BBCF6B}" destId="{01C29C0B-230A-4A2F-B7AB-59E88CC6B709}" srcOrd="1" destOrd="0" parTransId="{BD00C7DA-D115-4DC8-96E9-9A8238F85148}" sibTransId="{65EB422C-F1D3-4985-A61D-252683A994E5}"/>
    <dgm:cxn modelId="{4D524D71-7747-4CA7-959A-0C1A1AB0D512}" type="presOf" srcId="{2CC71809-35DE-431A-8E89-16EE3CBE8060}" destId="{1111B519-2F2F-4512-95FE-D2216303CCBE}" srcOrd="0" destOrd="0" presId="urn:microsoft.com/office/officeart/2005/8/layout/list1"/>
    <dgm:cxn modelId="{3FDC437B-7FEB-4570-9F57-FAA88171B111}" type="presOf" srcId="{68DFCB13-F778-41C4-88A6-8A8793BBCF6B}" destId="{374EA5B0-C6AD-46BF-9645-7F0ED252FE66}" srcOrd="0" destOrd="0" presId="urn:microsoft.com/office/officeart/2005/8/layout/list1"/>
    <dgm:cxn modelId="{537138B4-325E-4E94-87BB-8E2AEB889CE3}" srcId="{68DFCB13-F778-41C4-88A6-8A8793BBCF6B}" destId="{2CC71809-35DE-431A-8E89-16EE3CBE8060}" srcOrd="0" destOrd="0" parTransId="{FB3419CE-7C14-4ADE-BDF0-3D966782548A}" sibTransId="{8B785DAD-3895-49B6-A969-58089C321C73}"/>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pPr algn="just"/>
          <a:r>
            <a:rPr lang="en-US" sz="1000" b="0">
              <a:latin typeface="Times New Roman" panose="02020603050405020304" pitchFamily="18" charset="0"/>
              <a:cs typeface="Times New Roman" panose="02020603050405020304" pitchFamily="18" charset="0"/>
            </a:rPr>
            <a:t>Una transacción es un flujo económico que consiste en una interacción entre unidades institucionales </a:t>
          </a:r>
          <a:r>
            <a:rPr lang="en-US" sz="1000" b="1">
              <a:latin typeface="Times New Roman" panose="02020603050405020304" pitchFamily="18" charset="0"/>
              <a:cs typeface="Times New Roman" panose="02020603050405020304" pitchFamily="18" charset="0"/>
            </a:rPr>
            <a:t>por mutuo acuerdo o mediante la aplicación de la ley.... (MEFP 2014)</a:t>
          </a:r>
          <a:r>
            <a:rPr lang="en-US" sz="1000" b="0">
              <a:latin typeface="Times New Roman" panose="02020603050405020304" pitchFamily="18" charset="0"/>
              <a:cs typeface="Times New Roman" panose="02020603050405020304" pitchFamily="18" charset="0"/>
            </a:rPr>
            <a:t>. </a:t>
          </a:r>
          <a:r>
            <a:rPr lang="en-US" sz="1000" b="1">
              <a:latin typeface="Times New Roman" panose="02020603050405020304" pitchFamily="18" charset="0"/>
              <a:cs typeface="Times New Roman" panose="02020603050405020304" pitchFamily="18" charset="0"/>
            </a:rPr>
            <a:t>Las transacciones en activos y pasivos no generan cambios en el patrimonio neto.</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dgm:presLayoutVars>
          <dgm:bulletEnabled val="1"/>
        </dgm:presLayoutVars>
      </dgm:prSet>
      <dgm:spPr/>
    </dgm:pt>
  </dgm:ptLst>
  <dgm:cxnLst>
    <dgm:cxn modelId="{2B97E307-DDDC-45DC-9CA7-632648FED3B9}" type="presOf" srcId="{01C29C0B-230A-4A2F-B7AB-59E88CC6B709}" destId="{1111B519-2F2F-4512-95FE-D2216303CCBE}" srcOrd="0" destOrd="0" presId="urn:microsoft.com/office/officeart/2005/8/layout/list1"/>
    <dgm:cxn modelId="{E9E7F310-CA62-40CB-950B-C2B09700E887}" type="presOf" srcId="{FF27429C-5B6E-468F-AF42-BE9281FF2A23}" destId="{7323760A-CAC8-432D-A020-F77BFA77D735}" srcOrd="0" destOrd="0"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CF9E1A65-553C-4315-9B4D-6922C5CF2185}" type="presOf" srcId="{68DFCB13-F778-41C4-88A6-8A8793BBCF6B}" destId="{377E1CD8-0067-463D-AA47-7581C029D7D4}" srcOrd="1" destOrd="0" presId="urn:microsoft.com/office/officeart/2005/8/layout/list1"/>
    <dgm:cxn modelId="{047B5950-955A-4E9C-890F-03A957F573F6}" srcId="{68DFCB13-F778-41C4-88A6-8A8793BBCF6B}" destId="{01C29C0B-230A-4A2F-B7AB-59E88CC6B709}" srcOrd="0" destOrd="0" parTransId="{BD00C7DA-D115-4DC8-96E9-9A8238F85148}" sibTransId="{65EB422C-F1D3-4985-A61D-252683A994E5}"/>
    <dgm:cxn modelId="{3FDC437B-7FEB-4570-9F57-FAA88171B111}" type="presOf" srcId="{68DFCB13-F778-41C4-88A6-8A8793BBCF6B}" destId="{374EA5B0-C6AD-46BF-9645-7F0ED252FE66}" srcOrd="0" destOrd="0" presId="urn:microsoft.com/office/officeart/2005/8/layout/list1"/>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pPr algn="just"/>
          <a:r>
            <a:rPr lang="en-US" sz="1000">
              <a:latin typeface="Times New Roman" panose="02020603050405020304" pitchFamily="18" charset="0"/>
              <a:cs typeface="Times New Roman" panose="02020603050405020304" pitchFamily="18" charset="0"/>
            </a:rPr>
            <a:t>Las "Erogaciones" poseen cierta similitud conceptual a lo que en la metodología nacional se entiende por gasto, sin embargo, poseen algunas diferencias leves. </a:t>
          </a:r>
          <a:r>
            <a:rPr lang="en-US" sz="1000" b="1">
              <a:latin typeface="Times New Roman" panose="02020603050405020304" pitchFamily="18" charset="0"/>
              <a:cs typeface="Times New Roman" panose="02020603050405020304" pitchFamily="18" charset="0"/>
            </a:rPr>
            <a:t>En </a:t>
          </a:r>
          <a:r>
            <a:rPr lang="en-US" sz="1000" b="1">
              <a:solidFill>
                <a:sysClr val="windowText" lastClr="000000"/>
              </a:solidFill>
              <a:latin typeface="Times New Roman" panose="02020603050405020304" pitchFamily="18" charset="0"/>
              <a:cs typeface="Times New Roman" panose="02020603050405020304" pitchFamily="18" charset="0"/>
            </a:rPr>
            <a:t>los </a:t>
          </a:r>
          <a:r>
            <a:rPr lang="en-US" sz="1000" b="1" strike="noStrike">
              <a:solidFill>
                <a:sysClr val="windowText" lastClr="000000"/>
              </a:solidFill>
              <a:latin typeface="Times New Roman" panose="02020603050405020304" pitchFamily="18" charset="0"/>
              <a:cs typeface="Times New Roman" panose="02020603050405020304" pitchFamily="18" charset="0"/>
            </a:rPr>
            <a:t>estándares</a:t>
          </a:r>
          <a:r>
            <a:rPr lang="en-US" sz="1000" b="1">
              <a:solidFill>
                <a:sysClr val="windowText" lastClr="000000"/>
              </a:solidFill>
              <a:latin typeface="Times New Roman" panose="02020603050405020304" pitchFamily="18" charset="0"/>
              <a:cs typeface="Times New Roman" panose="02020603050405020304" pitchFamily="18" charset="0"/>
            </a:rPr>
            <a:t> internacionales, una erogación es la suma de los gastos y la inversión neta en activos </a:t>
          </a:r>
          <a:r>
            <a:rPr lang="en-US" sz="1000" b="1">
              <a:latin typeface="Times New Roman" panose="02020603050405020304" pitchFamily="18" charset="0"/>
              <a:cs typeface="Times New Roman" panose="02020603050405020304" pitchFamily="18" charset="0"/>
            </a:rPr>
            <a:t>no financieros (MEFP 2014) </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dgm:presLayoutVars>
          <dgm:bulletEnabled val="1"/>
        </dgm:presLayoutVars>
      </dgm:prSet>
      <dgm:spPr/>
    </dgm:pt>
  </dgm:ptLst>
  <dgm:cxnLst>
    <dgm:cxn modelId="{2B97E307-DDDC-45DC-9CA7-632648FED3B9}" type="presOf" srcId="{01C29C0B-230A-4A2F-B7AB-59E88CC6B709}" destId="{1111B519-2F2F-4512-95FE-D2216303CCBE}" srcOrd="0" destOrd="0" presId="urn:microsoft.com/office/officeart/2005/8/layout/list1"/>
    <dgm:cxn modelId="{E9E7F310-CA62-40CB-950B-C2B09700E887}" type="presOf" srcId="{FF27429C-5B6E-468F-AF42-BE9281FF2A23}" destId="{7323760A-CAC8-432D-A020-F77BFA77D735}" srcOrd="0" destOrd="0"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CF9E1A65-553C-4315-9B4D-6922C5CF2185}" type="presOf" srcId="{68DFCB13-F778-41C4-88A6-8A8793BBCF6B}" destId="{377E1CD8-0067-463D-AA47-7581C029D7D4}" srcOrd="1" destOrd="0" presId="urn:microsoft.com/office/officeart/2005/8/layout/list1"/>
    <dgm:cxn modelId="{047B5950-955A-4E9C-890F-03A957F573F6}" srcId="{68DFCB13-F778-41C4-88A6-8A8793BBCF6B}" destId="{01C29C0B-230A-4A2F-B7AB-59E88CC6B709}" srcOrd="0" destOrd="0" parTransId="{BD00C7DA-D115-4DC8-96E9-9A8238F85148}" sibTransId="{65EB422C-F1D3-4985-A61D-252683A994E5}"/>
    <dgm:cxn modelId="{3FDC437B-7FEB-4570-9F57-FAA88171B111}" type="presOf" srcId="{68DFCB13-F778-41C4-88A6-8A8793BBCF6B}" destId="{374EA5B0-C6AD-46BF-9645-7F0ED252FE66}" srcOrd="0" destOrd="0" presId="urn:microsoft.com/office/officeart/2005/8/layout/list1"/>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pPr algn="just"/>
          <a:r>
            <a:rPr lang="en-US" sz="1000">
              <a:latin typeface="Times New Roman" panose="02020603050405020304" pitchFamily="18" charset="0"/>
              <a:cs typeface="Times New Roman" panose="02020603050405020304" pitchFamily="18" charset="0"/>
            </a:rPr>
            <a:t>Existe una diferencia importante entre el concepto de resultado fiscal con metodología nacional y los </a:t>
          </a:r>
          <a:r>
            <a:rPr lang="en-US" sz="1000">
              <a:solidFill>
                <a:sysClr val="windowText" lastClr="000000"/>
              </a:solidFill>
              <a:latin typeface="Times New Roman" panose="02020603050405020304" pitchFamily="18" charset="0"/>
              <a:cs typeface="Times New Roman" panose="02020603050405020304" pitchFamily="18" charset="0"/>
            </a:rPr>
            <a:t>estándares internacionales, lo cual </a:t>
          </a:r>
          <a:r>
            <a:rPr lang="en-US" sz="1000">
              <a:latin typeface="Times New Roman" panose="02020603050405020304" pitchFamily="18" charset="0"/>
              <a:cs typeface="Times New Roman" panose="02020603050405020304" pitchFamily="18" charset="0"/>
            </a:rPr>
            <a:t>hace que estos no sean perfectamente comparables. </a:t>
          </a:r>
          <a:r>
            <a:rPr lang="en-US" sz="1000" b="1">
              <a:latin typeface="Times New Roman" panose="02020603050405020304" pitchFamily="18" charset="0"/>
              <a:cs typeface="Times New Roman" panose="02020603050405020304" pitchFamily="18" charset="0"/>
            </a:rPr>
            <a:t>En los </a:t>
          </a:r>
          <a:r>
            <a:rPr lang="en-US" sz="1000" b="1" strike="noStrike">
              <a:solidFill>
                <a:sysClr val="windowText" lastClr="000000"/>
              </a:solidFill>
              <a:latin typeface="Times New Roman" panose="02020603050405020304" pitchFamily="18" charset="0"/>
              <a:cs typeface="Times New Roman" panose="02020603050405020304" pitchFamily="18" charset="0"/>
            </a:rPr>
            <a:t>estándares</a:t>
          </a:r>
          <a:r>
            <a:rPr lang="en-US" sz="1000" b="1">
              <a:latin typeface="Times New Roman" panose="02020603050405020304" pitchFamily="18" charset="0"/>
              <a:cs typeface="Times New Roman" panose="02020603050405020304" pitchFamily="18" charset="0"/>
            </a:rPr>
            <a:t> internacionales existen los siguientes indicadores fiscales:</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C3D409E7-6B38-4B8B-8222-44C703F58D92}">
      <dgm:prSet phldrT="[Texto]" custT="1"/>
      <dgm:spPr/>
      <dgm:t>
        <a:bodyPr/>
        <a:lstStyle/>
        <a:p>
          <a:pPr algn="just"/>
          <a:r>
            <a:rPr lang="en-US" sz="1000" b="1">
              <a:latin typeface="Times New Roman" panose="02020603050405020304" pitchFamily="18" charset="0"/>
              <a:cs typeface="Times New Roman" panose="02020603050405020304" pitchFamily="18" charset="0"/>
            </a:rPr>
            <a:t> 1.) Resultado Operativo Neto (NOB) = </a:t>
          </a:r>
          <a:r>
            <a:rPr lang="en-US" sz="1000" b="0">
              <a:latin typeface="Times New Roman" panose="02020603050405020304" pitchFamily="18" charset="0"/>
              <a:cs typeface="Times New Roman" panose="02020603050405020304" pitchFamily="18" charset="0"/>
            </a:rPr>
            <a:t>Ingresos - Gastos</a:t>
          </a:r>
        </a:p>
      </dgm:t>
    </dgm:pt>
    <dgm:pt modelId="{35E9F9E2-37BD-42CA-AB3F-4201DA8C5649}" type="parTrans" cxnId="{D2A05A42-79FB-4963-8B17-BF9A6786808F}">
      <dgm:prSet/>
      <dgm:spPr/>
      <dgm:t>
        <a:bodyPr/>
        <a:lstStyle/>
        <a:p>
          <a:endParaRPr lang="en-US"/>
        </a:p>
      </dgm:t>
    </dgm:pt>
    <dgm:pt modelId="{AC2A3F50-B651-4C05-9C8B-A8F890A72D73}" type="sibTrans" cxnId="{D2A05A42-79FB-4963-8B17-BF9A6786808F}">
      <dgm:prSet/>
      <dgm:spPr/>
      <dgm:t>
        <a:bodyPr/>
        <a:lstStyle/>
        <a:p>
          <a:endParaRPr lang="en-US"/>
        </a:p>
      </dgm:t>
    </dgm:pt>
    <dgm:pt modelId="{3CF91B55-1F75-4C87-9C67-A20C9FA05662}">
      <dgm:prSet phldrT="[Texto]" custT="1"/>
      <dgm:spPr/>
      <dgm:t>
        <a:bodyPr/>
        <a:lstStyle/>
        <a:p>
          <a:pPr algn="just"/>
          <a:r>
            <a:rPr lang="en-US" sz="1000" b="1">
              <a:latin typeface="Times New Roman" panose="02020603050405020304" pitchFamily="18" charset="0"/>
              <a:cs typeface="Times New Roman" panose="02020603050405020304" pitchFamily="18" charset="0"/>
            </a:rPr>
            <a:t> 2.) Resultado Operativo Bruto (GOB) = </a:t>
          </a:r>
          <a:r>
            <a:rPr lang="en-US" sz="1000" b="0">
              <a:latin typeface="Times New Roman" panose="02020603050405020304" pitchFamily="18" charset="0"/>
              <a:cs typeface="Times New Roman" panose="02020603050405020304" pitchFamily="18" charset="0"/>
            </a:rPr>
            <a:t>Ingresos - Gastos + Consumo de capital fijo</a:t>
          </a:r>
        </a:p>
      </dgm:t>
    </dgm:pt>
    <dgm:pt modelId="{D8385961-8EAF-45B4-BEDD-9F02F740FFF8}" type="parTrans" cxnId="{3B646E4E-A757-43B0-9D09-BAE2E05E5ACA}">
      <dgm:prSet/>
      <dgm:spPr/>
      <dgm:t>
        <a:bodyPr/>
        <a:lstStyle/>
        <a:p>
          <a:endParaRPr lang="en-US"/>
        </a:p>
      </dgm:t>
    </dgm:pt>
    <dgm:pt modelId="{3B565E79-6F22-4474-B8A9-856B312682A2}" type="sibTrans" cxnId="{3B646E4E-A757-43B0-9D09-BAE2E05E5ACA}">
      <dgm:prSet/>
      <dgm:spPr/>
      <dgm:t>
        <a:bodyPr/>
        <a:lstStyle/>
        <a:p>
          <a:endParaRPr lang="en-US"/>
        </a:p>
      </dgm:t>
    </dgm:pt>
    <dgm:pt modelId="{DDD57492-28E1-4534-8544-AE4C4F54393E}">
      <dgm:prSet phldrT="[Texto]" custT="1"/>
      <dgm:spPr/>
      <dgm:t>
        <a:bodyPr/>
        <a:lstStyle/>
        <a:p>
          <a:pPr algn="just"/>
          <a:r>
            <a:rPr lang="en-US" sz="1000" b="1">
              <a:latin typeface="Times New Roman" panose="02020603050405020304" pitchFamily="18" charset="0"/>
              <a:cs typeface="Times New Roman" panose="02020603050405020304" pitchFamily="18" charset="0"/>
            </a:rPr>
            <a:t> 3.) P</a:t>
          </a:r>
          <a:r>
            <a:rPr lang="en-US" sz="1000" b="1">
              <a:solidFill>
                <a:sysClr val="windowText" lastClr="000000"/>
              </a:solidFill>
              <a:latin typeface="Times New Roman" panose="02020603050405020304" pitchFamily="18" charset="0"/>
              <a:cs typeface="Times New Roman" panose="02020603050405020304" pitchFamily="18" charset="0"/>
            </a:rPr>
            <a:t>réstamo </a:t>
          </a:r>
          <a:r>
            <a:rPr lang="en-US" sz="1000" b="1">
              <a:latin typeface="Times New Roman" panose="02020603050405020304" pitchFamily="18" charset="0"/>
              <a:cs typeface="Times New Roman" panose="02020603050405020304" pitchFamily="18" charset="0"/>
            </a:rPr>
            <a:t>o Endeudamiento Neto (NLB) = </a:t>
          </a:r>
          <a:r>
            <a:rPr lang="en-US" sz="1000" b="0">
              <a:latin typeface="Times New Roman" panose="02020603050405020304" pitchFamily="18" charset="0"/>
              <a:cs typeface="Times New Roman" panose="02020603050405020304" pitchFamily="18" charset="0"/>
            </a:rPr>
            <a:t>NOB - Inversión Neta en Activos no financieros</a:t>
          </a:r>
        </a:p>
      </dgm:t>
    </dgm:pt>
    <dgm:pt modelId="{F4E1C6EE-CD86-4051-8C91-50C764FC2B3C}" type="parTrans" cxnId="{804E552C-050E-4FE3-9A89-FA56FE6F04DB}">
      <dgm:prSet/>
      <dgm:spPr/>
      <dgm:t>
        <a:bodyPr/>
        <a:lstStyle/>
        <a:p>
          <a:endParaRPr lang="en-US"/>
        </a:p>
      </dgm:t>
    </dgm:pt>
    <dgm:pt modelId="{810108D9-3C67-4E9B-A016-62224098F996}" type="sibTrans" cxnId="{804E552C-050E-4FE3-9A89-FA56FE6F04DB}">
      <dgm:prSet/>
      <dgm:spPr/>
      <dgm:t>
        <a:bodyPr/>
        <a:lstStyle/>
        <a:p>
          <a:endParaRPr lang="en-US"/>
        </a:p>
      </dgm:t>
    </dgm:pt>
    <dgm:pt modelId="{B3BD5EE0-8B02-47DD-9A82-259B22A65496}">
      <dgm:prSet phldrT="[Texto]" custT="1"/>
      <dgm:spPr/>
      <dgm:t>
        <a:bodyPr/>
        <a:lstStyle/>
        <a:p>
          <a:pPr algn="l"/>
          <a:endParaRPr lang="en-US" sz="1000" b="1">
            <a:latin typeface="Times New Roman" panose="02020603050405020304" pitchFamily="18" charset="0"/>
            <a:cs typeface="Times New Roman" panose="02020603050405020304" pitchFamily="18" charset="0"/>
          </a:endParaRPr>
        </a:p>
      </dgm:t>
    </dgm:pt>
    <dgm:pt modelId="{C5714091-2FD7-45AB-996F-8D909E729D08}" type="parTrans" cxnId="{46B5D4E3-A1B8-446E-BF94-1D1B608BD025}">
      <dgm:prSet/>
      <dgm:spPr/>
      <dgm:t>
        <a:bodyPr/>
        <a:lstStyle/>
        <a:p>
          <a:endParaRPr lang="en-US"/>
        </a:p>
      </dgm:t>
    </dgm:pt>
    <dgm:pt modelId="{0927F4C2-33AC-47BA-87B1-9849DE2EA647}" type="sibTrans" cxnId="{46B5D4E3-A1B8-446E-BF94-1D1B608BD025}">
      <dgm:prSet/>
      <dgm:spPr/>
      <dgm:t>
        <a:bodyPr/>
        <a:lstStyle/>
        <a:p>
          <a:endParaRPr lang="en-US"/>
        </a:p>
      </dgm:t>
    </dgm:pt>
    <dgm:pt modelId="{8A074394-24C9-4417-B175-5B020C5132EE}">
      <dgm:prSet phldrT="[Texto]" custT="1"/>
      <dgm:spPr/>
      <dgm:t>
        <a:bodyPr/>
        <a:lstStyle/>
        <a:p>
          <a:pPr algn="l"/>
          <a:endParaRPr lang="en-US" sz="1000" b="1">
            <a:latin typeface="Times New Roman" panose="02020603050405020304" pitchFamily="18" charset="0"/>
            <a:cs typeface="Times New Roman" panose="02020603050405020304" pitchFamily="18" charset="0"/>
          </a:endParaRPr>
        </a:p>
      </dgm:t>
    </dgm:pt>
    <dgm:pt modelId="{DCE292B1-DDE6-4D66-AF9B-D8F09CB2C44B}" type="parTrans" cxnId="{DAA46AD6-6800-4619-A2CB-499FD1424CD7}">
      <dgm:prSet/>
      <dgm:spPr/>
      <dgm:t>
        <a:bodyPr/>
        <a:lstStyle/>
        <a:p>
          <a:endParaRPr lang="en-US"/>
        </a:p>
      </dgm:t>
    </dgm:pt>
    <dgm:pt modelId="{BB78CF32-946E-44D8-A2CB-37AAD43DE337}" type="sibTrans" cxnId="{DAA46AD6-6800-4619-A2CB-499FD1424CD7}">
      <dgm:prSet/>
      <dgm:spPr/>
      <dgm:t>
        <a:bodyPr/>
        <a:lstStyle/>
        <a:p>
          <a:endParaRPr lang="en-US"/>
        </a:p>
      </dgm:t>
    </dgm:pt>
    <dgm:pt modelId="{6F8CBEB5-BD00-46A8-8598-53DD15BC0D05}">
      <dgm:prSet phldrT="[Texto]" custT="1"/>
      <dgm:spPr/>
      <dgm:t>
        <a:bodyPr/>
        <a:lstStyle/>
        <a:p>
          <a:pPr algn="just"/>
          <a:r>
            <a:rPr lang="en-US" sz="1000" b="1">
              <a:latin typeface="Times New Roman" panose="02020603050405020304" pitchFamily="18" charset="0"/>
              <a:cs typeface="Times New Roman" panose="02020603050405020304" pitchFamily="18" charset="0"/>
            </a:rPr>
            <a:t>El NOB equivale a las variaciones en el patrimonio neto derivado a transacciones mientras que el NLB también equivale al financiamiento total (MEFP 2014)</a:t>
          </a:r>
        </a:p>
      </dgm:t>
    </dgm:pt>
    <dgm:pt modelId="{A6EB8F4D-3D4D-468C-8830-DEA557649AF4}" type="parTrans" cxnId="{62A354C5-3414-40BA-AD2A-45FD81C86CE9}">
      <dgm:prSet/>
      <dgm:spPr/>
      <dgm:t>
        <a:bodyPr/>
        <a:lstStyle/>
        <a:p>
          <a:endParaRPr lang="en-US"/>
        </a:p>
      </dgm:t>
    </dgm:pt>
    <dgm:pt modelId="{0628C494-8642-43D7-B0AB-7759DCBF2D72}" type="sibTrans" cxnId="{62A354C5-3414-40BA-AD2A-45FD81C86CE9}">
      <dgm:prSet/>
      <dgm:spPr/>
      <dgm:t>
        <a:bodyPr/>
        <a:lstStyle/>
        <a:p>
          <a:endParaRPr lang="en-US"/>
        </a:p>
      </dgm:t>
    </dgm:pt>
    <dgm:pt modelId="{F66DA131-6178-426C-B996-591DEB09B7CB}">
      <dgm:prSet phldrT="[Texto]" custT="1"/>
      <dgm:spPr/>
      <dgm:t>
        <a:bodyPr/>
        <a:lstStyle/>
        <a:p>
          <a:pPr algn="just"/>
          <a:endParaRPr lang="en-US" sz="1000" b="0">
            <a:latin typeface="Times New Roman" panose="02020603050405020304" pitchFamily="18" charset="0"/>
            <a:cs typeface="Times New Roman" panose="02020603050405020304" pitchFamily="18" charset="0"/>
          </a:endParaRPr>
        </a:p>
      </dgm:t>
    </dgm:pt>
    <dgm:pt modelId="{CEF9C5CB-6317-4711-B2DE-3942A095800E}" type="parTrans" cxnId="{85A2A9D1-776F-461B-B5DF-FAD4A3C4D680}">
      <dgm:prSet/>
      <dgm:spPr/>
      <dgm:t>
        <a:bodyPr/>
        <a:lstStyle/>
        <a:p>
          <a:endParaRPr lang="en-US"/>
        </a:p>
      </dgm:t>
    </dgm:pt>
    <dgm:pt modelId="{FC3858C3-5945-430C-BB96-A050D5CEC46F}" type="sibTrans" cxnId="{85A2A9D1-776F-461B-B5DF-FAD4A3C4D680}">
      <dgm:prSet/>
      <dgm:spPr/>
      <dgm:t>
        <a:bodyPr/>
        <a:lstStyle/>
        <a:p>
          <a:endParaRPr lang="en-US"/>
        </a:p>
      </dgm:t>
    </dgm:pt>
    <dgm:pt modelId="{453A4B04-F76E-490B-8F74-F2CEC3B8BB19}">
      <dgm:prSet phldrT="[Texto]" custT="1"/>
      <dgm:spPr/>
      <dgm:t>
        <a:bodyPr/>
        <a:lstStyle/>
        <a:p>
          <a:pPr algn="just"/>
          <a:endParaRPr lang="en-US" sz="1000" b="1">
            <a:latin typeface="Times New Roman" panose="02020603050405020304" pitchFamily="18" charset="0"/>
            <a:cs typeface="Times New Roman" panose="02020603050405020304" pitchFamily="18" charset="0"/>
          </a:endParaRPr>
        </a:p>
      </dgm:t>
    </dgm:pt>
    <dgm:pt modelId="{E8616642-9216-43BC-85CB-23782D39B7D5}" type="parTrans" cxnId="{E97BC17C-ACE4-4BB7-BC2E-2E60E6AEC07C}">
      <dgm:prSet/>
      <dgm:spPr/>
      <dgm:t>
        <a:bodyPr/>
        <a:lstStyle/>
        <a:p>
          <a:endParaRPr lang="es-GT"/>
        </a:p>
      </dgm:t>
    </dgm:pt>
    <dgm:pt modelId="{0C3A3D81-03D4-41F0-9DDD-F21090510B7A}" type="sibTrans" cxnId="{E97BC17C-ACE4-4BB7-BC2E-2E60E6AEC07C}">
      <dgm:prSet/>
      <dgm:spPr/>
      <dgm:t>
        <a:bodyPr/>
        <a:lstStyle/>
        <a:p>
          <a:endParaRPr lang="es-GT"/>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custScaleY="99330" custLinFactNeighborX="-1523" custLinFactNeighborY="1916">
        <dgm:presLayoutVars>
          <dgm:bulletEnabled val="1"/>
        </dgm:presLayoutVars>
      </dgm:prSet>
      <dgm:spPr/>
    </dgm:pt>
  </dgm:ptLst>
  <dgm:cxnLst>
    <dgm:cxn modelId="{69387103-3411-4A6C-B040-8EBB6BCB6A88}" type="presOf" srcId="{3CF91B55-1F75-4C87-9C67-A20C9FA05662}" destId="{1111B519-2F2F-4512-95FE-D2216303CCBE}" srcOrd="0" destOrd="3" presId="urn:microsoft.com/office/officeart/2005/8/layout/list1"/>
    <dgm:cxn modelId="{2B97E307-DDDC-45DC-9CA7-632648FED3B9}" type="presOf" srcId="{01C29C0B-230A-4A2F-B7AB-59E88CC6B709}" destId="{1111B519-2F2F-4512-95FE-D2216303CCBE}" srcOrd="0" destOrd="0" presId="urn:microsoft.com/office/officeart/2005/8/layout/list1"/>
    <dgm:cxn modelId="{E9E7F310-CA62-40CB-950B-C2B09700E887}" type="presOf" srcId="{FF27429C-5B6E-468F-AF42-BE9281FF2A23}" destId="{7323760A-CAC8-432D-A020-F77BFA77D735}" srcOrd="0" destOrd="0" presId="urn:microsoft.com/office/officeart/2005/8/layout/list1"/>
    <dgm:cxn modelId="{2C707029-5A0E-402A-B59F-EF340F2A4F9E}" type="presOf" srcId="{B3BD5EE0-8B02-47DD-9A82-259B22A65496}" destId="{1111B519-2F2F-4512-95FE-D2216303CCBE}" srcOrd="0" destOrd="8" presId="urn:microsoft.com/office/officeart/2005/8/layout/list1"/>
    <dgm:cxn modelId="{804E552C-050E-4FE3-9A89-FA56FE6F04DB}" srcId="{68DFCB13-F778-41C4-88A6-8A8793BBCF6B}" destId="{DDD57492-28E1-4534-8544-AE4C4F54393E}" srcOrd="4" destOrd="0" parTransId="{F4E1C6EE-CD86-4051-8C91-50C764FC2B3C}" sibTransId="{810108D9-3C67-4E9B-A016-62224098F996}"/>
    <dgm:cxn modelId="{EEF66A34-B4C1-4174-83EC-4C87C0DB31E8}" type="presOf" srcId="{DDD57492-28E1-4534-8544-AE4C4F54393E}" destId="{1111B519-2F2F-4512-95FE-D2216303CCBE}" srcOrd="0" destOrd="4"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D2A05A42-79FB-4963-8B17-BF9A6786808F}" srcId="{68DFCB13-F778-41C4-88A6-8A8793BBCF6B}" destId="{C3D409E7-6B38-4B8B-8222-44C703F58D92}" srcOrd="2" destOrd="0" parTransId="{35E9F9E2-37BD-42CA-AB3F-4201DA8C5649}" sibTransId="{AC2A3F50-B651-4C05-9C8B-A8F890A72D73}"/>
    <dgm:cxn modelId="{CF9E1A65-553C-4315-9B4D-6922C5CF2185}" type="presOf" srcId="{68DFCB13-F778-41C4-88A6-8A8793BBCF6B}" destId="{377E1CD8-0067-463D-AA47-7581C029D7D4}" srcOrd="1" destOrd="0" presId="urn:microsoft.com/office/officeart/2005/8/layout/list1"/>
    <dgm:cxn modelId="{3B646E4E-A757-43B0-9D09-BAE2E05E5ACA}" srcId="{68DFCB13-F778-41C4-88A6-8A8793BBCF6B}" destId="{3CF91B55-1F75-4C87-9C67-A20C9FA05662}" srcOrd="3" destOrd="0" parTransId="{D8385961-8EAF-45B4-BEDD-9F02F740FFF8}" sibTransId="{3B565E79-6F22-4474-B8A9-856B312682A2}"/>
    <dgm:cxn modelId="{047B5950-955A-4E9C-890F-03A957F573F6}" srcId="{68DFCB13-F778-41C4-88A6-8A8793BBCF6B}" destId="{01C29C0B-230A-4A2F-B7AB-59E88CC6B709}" srcOrd="0" destOrd="0" parTransId="{BD00C7DA-D115-4DC8-96E9-9A8238F85148}" sibTransId="{65EB422C-F1D3-4985-A61D-252683A994E5}"/>
    <dgm:cxn modelId="{85999478-29B4-46D0-A378-2630E510203B}" type="presOf" srcId="{6F8CBEB5-BD00-46A8-8598-53DD15BC0D05}" destId="{1111B519-2F2F-4512-95FE-D2216303CCBE}" srcOrd="0" destOrd="6" presId="urn:microsoft.com/office/officeart/2005/8/layout/list1"/>
    <dgm:cxn modelId="{3FDC437B-7FEB-4570-9F57-FAA88171B111}" type="presOf" srcId="{68DFCB13-F778-41C4-88A6-8A8793BBCF6B}" destId="{374EA5B0-C6AD-46BF-9645-7F0ED252FE66}" srcOrd="0" destOrd="0" presId="urn:microsoft.com/office/officeart/2005/8/layout/list1"/>
    <dgm:cxn modelId="{E97BC17C-ACE4-4BB7-BC2E-2E60E6AEC07C}" srcId="{68DFCB13-F778-41C4-88A6-8A8793BBCF6B}" destId="{453A4B04-F76E-490B-8F74-F2CEC3B8BB19}" srcOrd="7" destOrd="0" parTransId="{E8616642-9216-43BC-85CB-23782D39B7D5}" sibTransId="{0C3A3D81-03D4-41F0-9DDD-F21090510B7A}"/>
    <dgm:cxn modelId="{62A354C5-3414-40BA-AD2A-45FD81C86CE9}" srcId="{68DFCB13-F778-41C4-88A6-8A8793BBCF6B}" destId="{6F8CBEB5-BD00-46A8-8598-53DD15BC0D05}" srcOrd="6" destOrd="0" parTransId="{A6EB8F4D-3D4D-468C-8830-DEA557649AF4}" sibTransId="{0628C494-8642-43D7-B0AB-7759DCBF2D72}"/>
    <dgm:cxn modelId="{85A2A9D1-776F-461B-B5DF-FAD4A3C4D680}" srcId="{68DFCB13-F778-41C4-88A6-8A8793BBCF6B}" destId="{F66DA131-6178-426C-B996-591DEB09B7CB}" srcOrd="5" destOrd="0" parTransId="{CEF9C5CB-6317-4711-B2DE-3942A095800E}" sibTransId="{FC3858C3-5945-430C-BB96-A050D5CEC46F}"/>
    <dgm:cxn modelId="{DAA46AD6-6800-4619-A2CB-499FD1424CD7}" srcId="{68DFCB13-F778-41C4-88A6-8A8793BBCF6B}" destId="{8A074394-24C9-4417-B175-5B020C5132EE}" srcOrd="1" destOrd="0" parTransId="{DCE292B1-DDE6-4D66-AF9B-D8F09CB2C44B}" sibTransId="{BB78CF32-946E-44D8-A2CB-37AAD43DE337}"/>
    <dgm:cxn modelId="{B7CD85DB-3BC4-4CD4-9B17-43633D4795FD}" type="presOf" srcId="{C3D409E7-6B38-4B8B-8222-44C703F58D92}" destId="{1111B519-2F2F-4512-95FE-D2216303CCBE}" srcOrd="0" destOrd="2" presId="urn:microsoft.com/office/officeart/2005/8/layout/list1"/>
    <dgm:cxn modelId="{46B5D4E3-A1B8-446E-BF94-1D1B608BD025}" srcId="{68DFCB13-F778-41C4-88A6-8A8793BBCF6B}" destId="{B3BD5EE0-8B02-47DD-9A82-259B22A65496}" srcOrd="8" destOrd="0" parTransId="{C5714091-2FD7-45AB-996F-8D909E729D08}" sibTransId="{0927F4C2-33AC-47BA-87B1-9849DE2EA647}"/>
    <dgm:cxn modelId="{15195BEA-A48C-4BD1-BDAE-C543865F46DB}" type="presOf" srcId="{453A4B04-F76E-490B-8F74-F2CEC3B8BB19}" destId="{1111B519-2F2F-4512-95FE-D2216303CCBE}" srcOrd="0" destOrd="7" presId="urn:microsoft.com/office/officeart/2005/8/layout/list1"/>
    <dgm:cxn modelId="{CA8266EB-2064-4FDD-95F0-C82CE1121510}" type="presOf" srcId="{8A074394-24C9-4417-B175-5B020C5132EE}" destId="{1111B519-2F2F-4512-95FE-D2216303CCBE}" srcOrd="0" destOrd="1" presId="urn:microsoft.com/office/officeart/2005/8/layout/list1"/>
    <dgm:cxn modelId="{5046DFFC-77C3-490C-81E3-6B38AFE3D365}" type="presOf" srcId="{F66DA131-6178-426C-B996-591DEB09B7CB}" destId="{1111B519-2F2F-4512-95FE-D2216303CCBE}" srcOrd="0" destOrd="5" presId="urn:microsoft.com/office/officeart/2005/8/layout/list1"/>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164167"/>
          <a:ext cx="5836919" cy="71032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229108" rIns="45301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Hay una diferencia importante entre la definición de "ingreso" en la metodología nacional y los es</a:t>
          </a:r>
          <a:r>
            <a:rPr lang="en-US" sz="1000" kern="1200">
              <a:solidFill>
                <a:sysClr val="windowText" lastClr="000000"/>
              </a:solidFill>
              <a:latin typeface="Times New Roman" panose="02020603050405020304" pitchFamily="18" charset="0"/>
              <a:cs typeface="Times New Roman" panose="02020603050405020304" pitchFamily="18" charset="0"/>
            </a:rPr>
            <a:t>tán</a:t>
          </a:r>
          <a:r>
            <a:rPr lang="en-US" sz="1000" kern="1200">
              <a:latin typeface="Times New Roman" panose="02020603050405020304" pitchFamily="18" charset="0"/>
              <a:cs typeface="Times New Roman" panose="02020603050405020304" pitchFamily="18" charset="0"/>
            </a:rPr>
            <a:t>dares internacionales. </a:t>
          </a:r>
          <a:r>
            <a:rPr lang="en-US" sz="1000" b="1" kern="1200">
              <a:latin typeface="Times New Roman" panose="02020603050405020304" pitchFamily="18" charset="0"/>
              <a:cs typeface="Times New Roman" panose="02020603050405020304" pitchFamily="18" charset="0"/>
            </a:rPr>
            <a:t>En los </a:t>
          </a:r>
          <a:r>
            <a:rPr lang="en-US" sz="1000" b="1" strike="noStrike" kern="1200">
              <a:solidFill>
                <a:sysClr val="windowText" lastClr="000000"/>
              </a:solidFill>
              <a:latin typeface="Times New Roman" panose="02020603050405020304" pitchFamily="18" charset="0"/>
              <a:cs typeface="Times New Roman" panose="02020603050405020304" pitchFamily="18" charset="0"/>
            </a:rPr>
            <a:t>estándares</a:t>
          </a:r>
          <a:r>
            <a:rPr lang="en-US" sz="1000" b="1" kern="1200">
              <a:latin typeface="Times New Roman" panose="02020603050405020304" pitchFamily="18" charset="0"/>
              <a:cs typeface="Times New Roman" panose="02020603050405020304" pitchFamily="18" charset="0"/>
            </a:rPr>
            <a:t> internacionales, un ingreso es un aumento del patrimonio neto como resultado de una transacción (MEFP 2014) </a:t>
          </a:r>
        </a:p>
      </dsp:txBody>
      <dsp:txXfrm>
        <a:off x="0" y="164167"/>
        <a:ext cx="5836919" cy="710325"/>
      </dsp:txXfrm>
    </dsp:sp>
    <dsp:sp modelId="{377E1CD8-0067-463D-AA47-7581C029D7D4}">
      <dsp:nvSpPr>
        <dsp:cNvPr id="0" name=""/>
        <dsp:cNvSpPr/>
      </dsp:nvSpPr>
      <dsp:spPr>
        <a:xfrm>
          <a:off x="291560" y="1807"/>
          <a:ext cx="1379380" cy="32472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307412" y="17659"/>
        <a:ext cx="1347676" cy="2930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0"/>
          <a:ext cx="5836919" cy="86625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104140" rIns="453010" bIns="71120" numCol="1" spcCol="1270" anchor="t" anchorCtr="0">
          <a:noAutofit/>
        </a:bodyPr>
        <a:lstStyle/>
        <a:p>
          <a:pPr marL="57150" lvl="1" indent="-57150" algn="just" defTabSz="444500">
            <a:lnSpc>
              <a:spcPct val="90000"/>
            </a:lnSpc>
            <a:spcBef>
              <a:spcPct val="0"/>
            </a:spcBef>
            <a:spcAft>
              <a:spcPct val="15000"/>
            </a:spcAft>
            <a:buChar char="•"/>
          </a:pPr>
          <a:endParaRPr lang="en-US" sz="1000" b="1" kern="1200">
            <a:latin typeface="Times New Roman" panose="02020603050405020304" pitchFamily="18" charset="0"/>
            <a:cs typeface="Times New Roman" panose="02020603050405020304" pitchFamily="18" charset="0"/>
          </a:endParaRPr>
        </a:p>
        <a:p>
          <a:pPr marL="57150" lvl="1" indent="-57150" algn="just"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Los "Gastos" en los estándares internacionales presentan mayores diferencias respecto a la información presentada en metodología nacional y es importante entender que estos no son comparables entre si. </a:t>
          </a:r>
          <a:r>
            <a:rPr lang="en-US" sz="1000" b="1" kern="1200">
              <a:latin typeface="Times New Roman" panose="02020603050405020304" pitchFamily="18" charset="0"/>
              <a:cs typeface="Times New Roman" panose="02020603050405020304" pitchFamily="18" charset="0"/>
            </a:rPr>
            <a:t>En los e</a:t>
          </a:r>
          <a:r>
            <a:rPr lang="en-US" sz="1000" b="1" strike="noStrike" kern="1200">
              <a:solidFill>
                <a:sysClr val="windowText" lastClr="000000"/>
              </a:solidFill>
              <a:latin typeface="Times New Roman" panose="02020603050405020304" pitchFamily="18" charset="0"/>
              <a:cs typeface="Times New Roman" panose="02020603050405020304" pitchFamily="18" charset="0"/>
            </a:rPr>
            <a:t>stándares</a:t>
          </a:r>
          <a:r>
            <a:rPr lang="en-US" sz="1000" b="1" kern="1200">
              <a:latin typeface="Times New Roman" panose="02020603050405020304" pitchFamily="18" charset="0"/>
              <a:cs typeface="Times New Roman" panose="02020603050405020304" pitchFamily="18" charset="0"/>
            </a:rPr>
            <a:t> internacionales, un gasto es una transacción que  disminuye el patrimonio neto del gobierno (MEFP 2014) </a:t>
          </a:r>
        </a:p>
      </dsp:txBody>
      <dsp:txXfrm>
        <a:off x="0" y="0"/>
        <a:ext cx="5836919" cy="866250"/>
      </dsp:txXfrm>
    </dsp:sp>
    <dsp:sp modelId="{377E1CD8-0067-463D-AA47-7581C029D7D4}">
      <dsp:nvSpPr>
        <dsp:cNvPr id="0" name=""/>
        <dsp:cNvSpPr/>
      </dsp:nvSpPr>
      <dsp:spPr>
        <a:xfrm>
          <a:off x="291560" y="4234"/>
          <a:ext cx="1379380" cy="1476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298765" y="11439"/>
        <a:ext cx="1364970" cy="1331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164167"/>
          <a:ext cx="5836919" cy="71032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229108" rIns="453010" bIns="71120" numCol="1" spcCol="1270" anchor="t" anchorCtr="0">
          <a:noAutofit/>
        </a:bodyPr>
        <a:lstStyle/>
        <a:p>
          <a:pPr marL="57150" lvl="1" indent="-57150" algn="just" defTabSz="444500">
            <a:lnSpc>
              <a:spcPct val="90000"/>
            </a:lnSpc>
            <a:spcBef>
              <a:spcPct val="0"/>
            </a:spcBef>
            <a:spcAft>
              <a:spcPct val="15000"/>
            </a:spcAft>
            <a:buChar char="•"/>
          </a:pPr>
          <a:r>
            <a:rPr lang="en-US" sz="1000" b="0" kern="1200">
              <a:latin typeface="Times New Roman" panose="02020603050405020304" pitchFamily="18" charset="0"/>
              <a:cs typeface="Times New Roman" panose="02020603050405020304" pitchFamily="18" charset="0"/>
            </a:rPr>
            <a:t>Una transacción es un flujo económico que consiste en una interacción entre unidades institucionales </a:t>
          </a:r>
          <a:r>
            <a:rPr lang="en-US" sz="1000" b="1" kern="1200">
              <a:latin typeface="Times New Roman" panose="02020603050405020304" pitchFamily="18" charset="0"/>
              <a:cs typeface="Times New Roman" panose="02020603050405020304" pitchFamily="18" charset="0"/>
            </a:rPr>
            <a:t>por mutuo acuerdo o mediante la aplicación de la ley.... (MEFP 2014)</a:t>
          </a:r>
          <a:r>
            <a:rPr lang="en-US" sz="1000" b="0" kern="1200">
              <a:latin typeface="Times New Roman" panose="02020603050405020304" pitchFamily="18" charset="0"/>
              <a:cs typeface="Times New Roman" panose="02020603050405020304" pitchFamily="18" charset="0"/>
            </a:rPr>
            <a:t>. </a:t>
          </a:r>
          <a:r>
            <a:rPr lang="en-US" sz="1000" b="1" kern="1200">
              <a:latin typeface="Times New Roman" panose="02020603050405020304" pitchFamily="18" charset="0"/>
              <a:cs typeface="Times New Roman" panose="02020603050405020304" pitchFamily="18" charset="0"/>
            </a:rPr>
            <a:t>Las transacciones en activos y pasivos no generan cambios en el patrimonio neto.</a:t>
          </a:r>
        </a:p>
      </dsp:txBody>
      <dsp:txXfrm>
        <a:off x="0" y="164167"/>
        <a:ext cx="5836919" cy="710325"/>
      </dsp:txXfrm>
    </dsp:sp>
    <dsp:sp modelId="{377E1CD8-0067-463D-AA47-7581C029D7D4}">
      <dsp:nvSpPr>
        <dsp:cNvPr id="0" name=""/>
        <dsp:cNvSpPr/>
      </dsp:nvSpPr>
      <dsp:spPr>
        <a:xfrm>
          <a:off x="291560" y="1807"/>
          <a:ext cx="1379380" cy="32472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307412" y="17659"/>
        <a:ext cx="1347676" cy="29301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114959"/>
          <a:ext cx="5836919" cy="7497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145796" rIns="453010" bIns="71120" numCol="1" spcCol="1270" anchor="t" anchorCtr="0">
          <a:noAutofit/>
        </a:bodyPr>
        <a:lstStyle/>
        <a:p>
          <a:pPr marL="57150" lvl="1" indent="-57150" algn="just"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Las "Erogaciones" poseen cierta similitud conceptual a lo que en la metodología nacional se entiende por gasto, sin embargo, poseen algunas diferencias leves. </a:t>
          </a:r>
          <a:r>
            <a:rPr lang="en-US" sz="1000" b="1" kern="1200">
              <a:latin typeface="Times New Roman" panose="02020603050405020304" pitchFamily="18" charset="0"/>
              <a:cs typeface="Times New Roman" panose="02020603050405020304" pitchFamily="18" charset="0"/>
            </a:rPr>
            <a:t>En </a:t>
          </a:r>
          <a:r>
            <a:rPr lang="en-US" sz="1000" b="1" kern="1200">
              <a:solidFill>
                <a:sysClr val="windowText" lastClr="000000"/>
              </a:solidFill>
              <a:latin typeface="Times New Roman" panose="02020603050405020304" pitchFamily="18" charset="0"/>
              <a:cs typeface="Times New Roman" panose="02020603050405020304" pitchFamily="18" charset="0"/>
            </a:rPr>
            <a:t>los </a:t>
          </a:r>
          <a:r>
            <a:rPr lang="en-US" sz="1000" b="1" strike="noStrike" kern="1200">
              <a:solidFill>
                <a:sysClr val="windowText" lastClr="000000"/>
              </a:solidFill>
              <a:latin typeface="Times New Roman" panose="02020603050405020304" pitchFamily="18" charset="0"/>
              <a:cs typeface="Times New Roman" panose="02020603050405020304" pitchFamily="18" charset="0"/>
            </a:rPr>
            <a:t>estándares</a:t>
          </a:r>
          <a:r>
            <a:rPr lang="en-US" sz="1000" b="1" kern="1200">
              <a:solidFill>
                <a:sysClr val="windowText" lastClr="000000"/>
              </a:solidFill>
              <a:latin typeface="Times New Roman" panose="02020603050405020304" pitchFamily="18" charset="0"/>
              <a:cs typeface="Times New Roman" panose="02020603050405020304" pitchFamily="18" charset="0"/>
            </a:rPr>
            <a:t> internacionales, una erogación es la suma de los gastos y la inversión neta en activos </a:t>
          </a:r>
          <a:r>
            <a:rPr lang="en-US" sz="1000" b="1" kern="1200">
              <a:latin typeface="Times New Roman" panose="02020603050405020304" pitchFamily="18" charset="0"/>
              <a:cs typeface="Times New Roman" panose="02020603050405020304" pitchFamily="18" charset="0"/>
            </a:rPr>
            <a:t>no financieros (MEFP 2014) </a:t>
          </a:r>
        </a:p>
      </dsp:txBody>
      <dsp:txXfrm>
        <a:off x="0" y="114959"/>
        <a:ext cx="5836919" cy="749700"/>
      </dsp:txXfrm>
    </dsp:sp>
    <dsp:sp modelId="{377E1CD8-0067-463D-AA47-7581C029D7D4}">
      <dsp:nvSpPr>
        <dsp:cNvPr id="0" name=""/>
        <dsp:cNvSpPr/>
      </dsp:nvSpPr>
      <dsp:spPr>
        <a:xfrm>
          <a:off x="291560" y="11639"/>
          <a:ext cx="1379380" cy="20664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301647" y="21726"/>
        <a:ext cx="1359206" cy="18646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73866"/>
          <a:ext cx="5836919" cy="178003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163958" rIns="453010" bIns="71120" numCol="1" spcCol="1270" anchor="t" anchorCtr="0">
          <a:noAutofit/>
        </a:bodyPr>
        <a:lstStyle/>
        <a:p>
          <a:pPr marL="57150" lvl="1" indent="-57150" algn="just"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Existe una diferencia importante entre el concepto de resultado fiscal con metodología nacional y los </a:t>
          </a:r>
          <a:r>
            <a:rPr lang="en-US" sz="1000" kern="1200">
              <a:solidFill>
                <a:sysClr val="windowText" lastClr="000000"/>
              </a:solidFill>
              <a:latin typeface="Times New Roman" panose="02020603050405020304" pitchFamily="18" charset="0"/>
              <a:cs typeface="Times New Roman" panose="02020603050405020304" pitchFamily="18" charset="0"/>
            </a:rPr>
            <a:t>estándares internacionales, lo cual </a:t>
          </a:r>
          <a:r>
            <a:rPr lang="en-US" sz="1000" kern="1200">
              <a:latin typeface="Times New Roman" panose="02020603050405020304" pitchFamily="18" charset="0"/>
              <a:cs typeface="Times New Roman" panose="02020603050405020304" pitchFamily="18" charset="0"/>
            </a:rPr>
            <a:t>hace que estos no sean perfectamente comparables. </a:t>
          </a:r>
          <a:r>
            <a:rPr lang="en-US" sz="1000" b="1" kern="1200">
              <a:latin typeface="Times New Roman" panose="02020603050405020304" pitchFamily="18" charset="0"/>
              <a:cs typeface="Times New Roman" panose="02020603050405020304" pitchFamily="18" charset="0"/>
            </a:rPr>
            <a:t>En los </a:t>
          </a:r>
          <a:r>
            <a:rPr lang="en-US" sz="1000" b="1" strike="noStrike" kern="1200">
              <a:solidFill>
                <a:sysClr val="windowText" lastClr="000000"/>
              </a:solidFill>
              <a:latin typeface="Times New Roman" panose="02020603050405020304" pitchFamily="18" charset="0"/>
              <a:cs typeface="Times New Roman" panose="02020603050405020304" pitchFamily="18" charset="0"/>
            </a:rPr>
            <a:t>estándares</a:t>
          </a:r>
          <a:r>
            <a:rPr lang="en-US" sz="1000" b="1" kern="1200">
              <a:latin typeface="Times New Roman" panose="02020603050405020304" pitchFamily="18" charset="0"/>
              <a:cs typeface="Times New Roman" panose="02020603050405020304" pitchFamily="18" charset="0"/>
            </a:rPr>
            <a:t> internacionales existen los siguientes indicadores fiscales:</a:t>
          </a:r>
        </a:p>
        <a:p>
          <a:pPr marL="57150" lvl="1" indent="-57150" algn="l" defTabSz="444500">
            <a:lnSpc>
              <a:spcPct val="90000"/>
            </a:lnSpc>
            <a:spcBef>
              <a:spcPct val="0"/>
            </a:spcBef>
            <a:spcAft>
              <a:spcPct val="15000"/>
            </a:spcAft>
            <a:buChar char="•"/>
          </a:pPr>
          <a:endParaRPr lang="en-US" sz="1000" b="1" kern="1200">
            <a:latin typeface="Times New Roman" panose="02020603050405020304" pitchFamily="18" charset="0"/>
            <a:cs typeface="Times New Roman" panose="02020603050405020304" pitchFamily="18" charset="0"/>
          </a:endParaRPr>
        </a:p>
        <a:p>
          <a:pPr marL="57150" lvl="1" indent="-57150" algn="just" defTabSz="444500">
            <a:lnSpc>
              <a:spcPct val="90000"/>
            </a:lnSpc>
            <a:spcBef>
              <a:spcPct val="0"/>
            </a:spcBef>
            <a:spcAft>
              <a:spcPct val="15000"/>
            </a:spcAft>
            <a:buChar char="•"/>
          </a:pPr>
          <a:r>
            <a:rPr lang="en-US" sz="1000" b="1" kern="1200">
              <a:latin typeface="Times New Roman" panose="02020603050405020304" pitchFamily="18" charset="0"/>
              <a:cs typeface="Times New Roman" panose="02020603050405020304" pitchFamily="18" charset="0"/>
            </a:rPr>
            <a:t> 1.) Resultado Operativo Neto (NOB) = </a:t>
          </a:r>
          <a:r>
            <a:rPr lang="en-US" sz="1000" b="0" kern="1200">
              <a:latin typeface="Times New Roman" panose="02020603050405020304" pitchFamily="18" charset="0"/>
              <a:cs typeface="Times New Roman" panose="02020603050405020304" pitchFamily="18" charset="0"/>
            </a:rPr>
            <a:t>Ingresos - Gastos</a:t>
          </a:r>
        </a:p>
        <a:p>
          <a:pPr marL="57150" lvl="1" indent="-57150" algn="just" defTabSz="444500">
            <a:lnSpc>
              <a:spcPct val="90000"/>
            </a:lnSpc>
            <a:spcBef>
              <a:spcPct val="0"/>
            </a:spcBef>
            <a:spcAft>
              <a:spcPct val="15000"/>
            </a:spcAft>
            <a:buChar char="•"/>
          </a:pPr>
          <a:r>
            <a:rPr lang="en-US" sz="1000" b="1" kern="1200">
              <a:latin typeface="Times New Roman" panose="02020603050405020304" pitchFamily="18" charset="0"/>
              <a:cs typeface="Times New Roman" panose="02020603050405020304" pitchFamily="18" charset="0"/>
            </a:rPr>
            <a:t> 2.) Resultado Operativo Bruto (GOB) = </a:t>
          </a:r>
          <a:r>
            <a:rPr lang="en-US" sz="1000" b="0" kern="1200">
              <a:latin typeface="Times New Roman" panose="02020603050405020304" pitchFamily="18" charset="0"/>
              <a:cs typeface="Times New Roman" panose="02020603050405020304" pitchFamily="18" charset="0"/>
            </a:rPr>
            <a:t>Ingresos - Gastos + Consumo de capital fijo</a:t>
          </a:r>
        </a:p>
        <a:p>
          <a:pPr marL="57150" lvl="1" indent="-57150" algn="just" defTabSz="444500">
            <a:lnSpc>
              <a:spcPct val="90000"/>
            </a:lnSpc>
            <a:spcBef>
              <a:spcPct val="0"/>
            </a:spcBef>
            <a:spcAft>
              <a:spcPct val="15000"/>
            </a:spcAft>
            <a:buChar char="•"/>
          </a:pPr>
          <a:r>
            <a:rPr lang="en-US" sz="1000" b="1" kern="1200">
              <a:latin typeface="Times New Roman" panose="02020603050405020304" pitchFamily="18" charset="0"/>
              <a:cs typeface="Times New Roman" panose="02020603050405020304" pitchFamily="18" charset="0"/>
            </a:rPr>
            <a:t> 3.) P</a:t>
          </a:r>
          <a:r>
            <a:rPr lang="en-US" sz="1000" b="1" kern="1200">
              <a:solidFill>
                <a:sysClr val="windowText" lastClr="000000"/>
              </a:solidFill>
              <a:latin typeface="Times New Roman" panose="02020603050405020304" pitchFamily="18" charset="0"/>
              <a:cs typeface="Times New Roman" panose="02020603050405020304" pitchFamily="18" charset="0"/>
            </a:rPr>
            <a:t>réstamo </a:t>
          </a:r>
          <a:r>
            <a:rPr lang="en-US" sz="1000" b="1" kern="1200">
              <a:latin typeface="Times New Roman" panose="02020603050405020304" pitchFamily="18" charset="0"/>
              <a:cs typeface="Times New Roman" panose="02020603050405020304" pitchFamily="18" charset="0"/>
            </a:rPr>
            <a:t>o Endeudamiento Neto (NLB) = </a:t>
          </a:r>
          <a:r>
            <a:rPr lang="en-US" sz="1000" b="0" kern="1200">
              <a:latin typeface="Times New Roman" panose="02020603050405020304" pitchFamily="18" charset="0"/>
              <a:cs typeface="Times New Roman" panose="02020603050405020304" pitchFamily="18" charset="0"/>
            </a:rPr>
            <a:t>NOB - Inversión Neta en Activos no financieros</a:t>
          </a:r>
        </a:p>
        <a:p>
          <a:pPr marL="57150" lvl="1" indent="-57150" algn="just" defTabSz="444500">
            <a:lnSpc>
              <a:spcPct val="90000"/>
            </a:lnSpc>
            <a:spcBef>
              <a:spcPct val="0"/>
            </a:spcBef>
            <a:spcAft>
              <a:spcPct val="15000"/>
            </a:spcAft>
            <a:buChar char="•"/>
          </a:pPr>
          <a:endParaRPr lang="en-US" sz="1000" b="0" kern="1200">
            <a:latin typeface="Times New Roman" panose="02020603050405020304" pitchFamily="18" charset="0"/>
            <a:cs typeface="Times New Roman" panose="02020603050405020304" pitchFamily="18" charset="0"/>
          </a:endParaRPr>
        </a:p>
        <a:p>
          <a:pPr marL="57150" lvl="1" indent="-57150" algn="just" defTabSz="444500">
            <a:lnSpc>
              <a:spcPct val="90000"/>
            </a:lnSpc>
            <a:spcBef>
              <a:spcPct val="0"/>
            </a:spcBef>
            <a:spcAft>
              <a:spcPct val="15000"/>
            </a:spcAft>
            <a:buChar char="•"/>
          </a:pPr>
          <a:r>
            <a:rPr lang="en-US" sz="1000" b="1" kern="1200">
              <a:latin typeface="Times New Roman" panose="02020603050405020304" pitchFamily="18" charset="0"/>
              <a:cs typeface="Times New Roman" panose="02020603050405020304" pitchFamily="18" charset="0"/>
            </a:rPr>
            <a:t>El NOB equivale a las variaciones en el patrimonio neto derivado a transacciones mientras que el NLB también equivale al financiamiento total (MEFP 2014)</a:t>
          </a:r>
        </a:p>
        <a:p>
          <a:pPr marL="57150" lvl="1" indent="-57150" algn="just" defTabSz="444500">
            <a:lnSpc>
              <a:spcPct val="90000"/>
            </a:lnSpc>
            <a:spcBef>
              <a:spcPct val="0"/>
            </a:spcBef>
            <a:spcAft>
              <a:spcPct val="15000"/>
            </a:spcAft>
            <a:buChar char="•"/>
          </a:pPr>
          <a:endParaRPr lang="en-US" sz="1000" b="1"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endParaRPr lang="en-US" sz="1000" b="1" kern="1200">
            <a:latin typeface="Times New Roman" panose="02020603050405020304" pitchFamily="18" charset="0"/>
            <a:cs typeface="Times New Roman" panose="02020603050405020304" pitchFamily="18" charset="0"/>
          </a:endParaRPr>
        </a:p>
      </dsp:txBody>
      <dsp:txXfrm>
        <a:off x="0" y="73866"/>
        <a:ext cx="5836919" cy="1780030"/>
      </dsp:txXfrm>
    </dsp:sp>
    <dsp:sp modelId="{377E1CD8-0067-463D-AA47-7581C029D7D4}">
      <dsp:nvSpPr>
        <dsp:cNvPr id="0" name=""/>
        <dsp:cNvSpPr/>
      </dsp:nvSpPr>
      <dsp:spPr>
        <a:xfrm>
          <a:off x="291560" y="1660"/>
          <a:ext cx="1379380" cy="14169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298477" y="8577"/>
        <a:ext cx="1365546" cy="127861"/>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0.59</cdr:x>
      <cdr:y>0.86131</cdr:y>
    </cdr:from>
    <cdr:to>
      <cdr:x>1</cdr:x>
      <cdr:y>0.97958</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3460267" y="1648459"/>
          <a:ext cx="2404593" cy="22635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10.xml><?xml version="1.0" encoding="utf-8"?>
<c:userShapes xmlns:c="http://schemas.openxmlformats.org/drawingml/2006/chart">
  <cdr:relSizeAnchor xmlns:cdr="http://schemas.openxmlformats.org/drawingml/2006/chartDrawing">
    <cdr:from>
      <cdr:x>0.1937</cdr:x>
      <cdr:y>0.91566</cdr:y>
    </cdr:from>
    <cdr:to>
      <cdr:x>0.99715</cdr:x>
      <cdr:y>0.99266</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435049" y="4826000"/>
          <a:ext cx="1804545" cy="40581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spcAft>
              <a:spcPts val="0"/>
            </a:spcAft>
          </a:pPr>
          <a:r>
            <a:rPr lang="es-GT" sz="800" baseline="30000">
              <a:effectLst/>
              <a:latin typeface="Times New Roman" panose="02020603050405020304" pitchFamily="18" charset="0"/>
              <a:ea typeface="Times New Roman" panose="02020603050405020304" pitchFamily="18" charset="0"/>
              <a:cs typeface="Times New Roman" panose="02020603050405020304" pitchFamily="18" charset="0"/>
            </a:rPr>
            <a:t>1/ </a:t>
          </a: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Con base a la metodología nacional</a:t>
          </a: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2.xml><?xml version="1.0" encoding="utf-8"?>
<c:userShapes xmlns:c="http://schemas.openxmlformats.org/drawingml/2006/chart">
  <cdr:relSizeAnchor xmlns:cdr="http://schemas.openxmlformats.org/drawingml/2006/chartDrawing">
    <cdr:from>
      <cdr:x>0.81689</cdr:x>
      <cdr:y>0.28701</cdr:y>
    </cdr:from>
    <cdr:to>
      <cdr:x>0.81689</cdr:x>
      <cdr:y>0.88429</cdr:y>
    </cdr:to>
    <cdr:cxnSp macro="">
      <cdr:nvCxnSpPr>
        <cdr:cNvPr id="3" name="Conector recto 2"/>
        <cdr:cNvCxnSpPr/>
      </cdr:nvCxnSpPr>
      <cdr:spPr>
        <a:xfrm xmlns:a="http://schemas.openxmlformats.org/drawingml/2006/main">
          <a:off x="4878109" y="520510"/>
          <a:ext cx="0" cy="1083203"/>
        </a:xfrm>
        <a:prstGeom xmlns:a="http://schemas.openxmlformats.org/drawingml/2006/main" prst="line">
          <a:avLst/>
        </a:prstGeom>
        <a:effectLst xmlns:a="http://schemas.openxmlformats.org/drawingml/2006/main">
          <a:outerShdw blurRad="50800" dist="38100" dir="18900000" algn="bl" rotWithShape="0">
            <a:prstClr val="black">
              <a:alpha val="40000"/>
            </a:prstClr>
          </a:outerShdw>
        </a:effectLst>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0.50281</cdr:x>
      <cdr:y>0.811</cdr:y>
    </cdr:from>
    <cdr:to>
      <cdr:x>0.97884</cdr:x>
      <cdr:y>0.811</cdr:y>
    </cdr:to>
    <cdr:cxnSp macro="">
      <cdr:nvCxnSpPr>
        <cdr:cNvPr id="3" name="Conector recto 2"/>
        <cdr:cNvCxnSpPr/>
      </cdr:nvCxnSpPr>
      <cdr:spPr>
        <a:xfrm xmlns:a="http://schemas.openxmlformats.org/drawingml/2006/main">
          <a:off x="1445731" y="3958171"/>
          <a:ext cx="1368721" cy="0"/>
        </a:xfrm>
        <a:prstGeom xmlns:a="http://schemas.openxmlformats.org/drawingml/2006/main" prst="line">
          <a:avLst/>
        </a:prstGeom>
        <a:effectLst xmlns:a="http://schemas.openxmlformats.org/drawingml/2006/main">
          <a:outerShdw blurRad="50800" dist="38100" dir="18900000" algn="bl" rotWithShape="0">
            <a:prstClr val="black">
              <a:alpha val="40000"/>
            </a:prstClr>
          </a:outerShdw>
        </a:effectLst>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0.60507</cdr:x>
      <cdr:y>0.93965</cdr:y>
    </cdr:from>
    <cdr:to>
      <cdr:x>0.98852</cdr:x>
      <cdr:y>1</cdr:y>
    </cdr:to>
    <cdr:sp macro="" textlink="">
      <cdr:nvSpPr>
        <cdr:cNvPr id="4" name="Cuadro de texto 2"/>
        <cdr:cNvSpPr txBox="1">
          <a:spLocks xmlns:a="http://schemas.openxmlformats.org/drawingml/2006/main" noChangeArrowheads="1"/>
        </cdr:cNvSpPr>
      </cdr:nvSpPr>
      <cdr:spPr bwMode="auto">
        <a:xfrm xmlns:a="http://schemas.openxmlformats.org/drawingml/2006/main">
          <a:off x="1739735" y="4586065"/>
          <a:ext cx="1102537" cy="294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4.xml><?xml version="1.0" encoding="utf-8"?>
<c:userShapes xmlns:c="http://schemas.openxmlformats.org/drawingml/2006/chart">
  <cdr:relSizeAnchor xmlns:cdr="http://schemas.openxmlformats.org/drawingml/2006/chartDrawing">
    <cdr:from>
      <cdr:x>0.01254</cdr:x>
      <cdr:y>0.87521</cdr:y>
    </cdr:from>
    <cdr:to>
      <cdr:x>0.46437</cdr:x>
      <cdr:y>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35601" y="1910687"/>
          <a:ext cx="1282497" cy="27244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5.xml><?xml version="1.0" encoding="utf-8"?>
<c:userShapes xmlns:c="http://schemas.openxmlformats.org/drawingml/2006/chart">
  <cdr:relSizeAnchor xmlns:cdr="http://schemas.openxmlformats.org/drawingml/2006/chartDrawing">
    <cdr:from>
      <cdr:x>0.12364</cdr:x>
      <cdr:y>0.22445</cdr:y>
    </cdr:from>
    <cdr:to>
      <cdr:x>0.12538</cdr:x>
      <cdr:y>0.76922</cdr:y>
    </cdr:to>
    <cdr:cxnSp macro="">
      <cdr:nvCxnSpPr>
        <cdr:cNvPr id="3" name="Conector recto 2"/>
        <cdr:cNvCxnSpPr/>
      </cdr:nvCxnSpPr>
      <cdr:spPr>
        <a:xfrm xmlns:a="http://schemas.openxmlformats.org/drawingml/2006/main">
          <a:off x="736979" y="614149"/>
          <a:ext cx="10379" cy="1490602"/>
        </a:xfrm>
        <a:prstGeom xmlns:a="http://schemas.openxmlformats.org/drawingml/2006/main" prst="line">
          <a:avLst/>
        </a:prstGeom>
        <a:effectLst xmlns:a="http://schemas.openxmlformats.org/drawingml/2006/main">
          <a:outerShdw blurRad="50800" dist="38100" dir="18900000" algn="bl" rotWithShape="0">
            <a:prstClr val="black">
              <a:alpha val="40000"/>
            </a:prstClr>
          </a:outerShdw>
        </a:effectLst>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0.58965</cdr:x>
      <cdr:y>0.87017</cdr:y>
    </cdr:from>
    <cdr:to>
      <cdr:x>1</cdr:x>
      <cdr:y>1</cdr:y>
    </cdr:to>
    <cdr:sp macro="" textlink="">
      <cdr:nvSpPr>
        <cdr:cNvPr id="4" name="Cuadro de texto 2"/>
        <cdr:cNvSpPr txBox="1">
          <a:spLocks xmlns:a="http://schemas.openxmlformats.org/drawingml/2006/main" noChangeArrowheads="1"/>
        </cdr:cNvSpPr>
      </cdr:nvSpPr>
      <cdr:spPr bwMode="auto">
        <a:xfrm xmlns:a="http://schemas.openxmlformats.org/drawingml/2006/main">
          <a:off x="3514753" y="2125683"/>
          <a:ext cx="2445992" cy="31716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6.xml><?xml version="1.0" encoding="utf-8"?>
<c:userShapes xmlns:c="http://schemas.openxmlformats.org/drawingml/2006/chart">
  <cdr:relSizeAnchor xmlns:cdr="http://schemas.openxmlformats.org/drawingml/2006/chartDrawing">
    <cdr:from>
      <cdr:x>0.78614</cdr:x>
      <cdr:y>0.86031</cdr:y>
    </cdr:from>
    <cdr:to>
      <cdr:x>1</cdr:x>
      <cdr:y>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4725916" y="1931158"/>
          <a:ext cx="1285629" cy="31356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7.xml><?xml version="1.0" encoding="utf-8"?>
<c:userShapes xmlns:c="http://schemas.openxmlformats.org/drawingml/2006/chart">
  <cdr:relSizeAnchor xmlns:cdr="http://schemas.openxmlformats.org/drawingml/2006/chartDrawing">
    <cdr:from>
      <cdr:x>0.85889</cdr:x>
      <cdr:y>0.11097</cdr:y>
    </cdr:from>
    <cdr:to>
      <cdr:x>0.85889</cdr:x>
      <cdr:y>0.79144</cdr:y>
    </cdr:to>
    <cdr:cxnSp macro="">
      <cdr:nvCxnSpPr>
        <cdr:cNvPr id="4" name="Conector recto 3"/>
        <cdr:cNvCxnSpPr/>
      </cdr:nvCxnSpPr>
      <cdr:spPr>
        <a:xfrm xmlns:a="http://schemas.openxmlformats.org/drawingml/2006/main">
          <a:off x="2890589" y="228659"/>
          <a:ext cx="0" cy="1402159"/>
        </a:xfrm>
        <a:prstGeom xmlns:a="http://schemas.openxmlformats.org/drawingml/2006/main" prst="line">
          <a:avLst/>
        </a:prstGeom>
        <a:ln xmlns:a="http://schemas.openxmlformats.org/drawingml/2006/main" w="28575" cap="flat" cmpd="sng" algn="ctr">
          <a:solidFill>
            <a:schemeClr val="tx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0.87298</cdr:x>
      <cdr:y>0.09538</cdr:y>
    </cdr:from>
    <cdr:to>
      <cdr:x>0.87298</cdr:x>
      <cdr:y>0.61897</cdr:y>
    </cdr:to>
    <cdr:cxnSp macro="">
      <cdr:nvCxnSpPr>
        <cdr:cNvPr id="3" name="Conector recto 2"/>
        <cdr:cNvCxnSpPr/>
      </cdr:nvCxnSpPr>
      <cdr:spPr>
        <a:xfrm xmlns:a="http://schemas.openxmlformats.org/drawingml/2006/main">
          <a:off x="2882595" y="203018"/>
          <a:ext cx="0" cy="1114472"/>
        </a:xfrm>
        <a:prstGeom xmlns:a="http://schemas.openxmlformats.org/drawingml/2006/main" prst="line">
          <a:avLst/>
        </a:prstGeom>
        <a:ln xmlns:a="http://schemas.openxmlformats.org/drawingml/2006/main" w="28575" cap="flat" cmpd="sng" algn="ctr">
          <a:solidFill>
            <a:schemeClr val="tx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0.00962</cdr:x>
      <cdr:y>0.87005</cdr:y>
    </cdr:from>
    <cdr:to>
      <cdr:x>0.35</cdr:x>
      <cdr:y>0.97953</cdr:y>
    </cdr:to>
    <cdr:sp macro="" textlink="">
      <cdr:nvSpPr>
        <cdr:cNvPr id="4" name="Cuadro de texto 2"/>
        <cdr:cNvSpPr txBox="1">
          <a:spLocks xmlns:a="http://schemas.openxmlformats.org/drawingml/2006/main" noChangeArrowheads="1"/>
        </cdr:cNvSpPr>
      </cdr:nvSpPr>
      <cdr:spPr bwMode="auto">
        <a:xfrm xmlns:a="http://schemas.openxmlformats.org/drawingml/2006/main">
          <a:off x="31750" y="1889492"/>
          <a:ext cx="1123950" cy="23775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9.xml><?xml version="1.0" encoding="utf-8"?>
<c:userShapes xmlns:c="http://schemas.openxmlformats.org/drawingml/2006/chart">
  <cdr:relSizeAnchor xmlns:cdr="http://schemas.openxmlformats.org/drawingml/2006/chartDrawing">
    <cdr:from>
      <cdr:x>0.00247</cdr:x>
      <cdr:y>0.91466</cdr:y>
    </cdr:from>
    <cdr:to>
      <cdr:x>0.18837</cdr:x>
      <cdr:y>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14659" y="3070746"/>
          <a:ext cx="1103262" cy="2864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5B47F-8224-4013-8EE9-B6C68F062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11</Pages>
  <Words>3188</Words>
  <Characters>17534</Characters>
  <Application>Microsoft Office Word</Application>
  <DocSecurity>0</DocSecurity>
  <Lines>146</Lines>
  <Paragraphs>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de las FinanzAs públicas</vt:lpstr>
      <vt:lpstr>Informe de las FinanzAs públicas</vt:lpstr>
    </vt:vector>
  </TitlesOfParts>
  <Company>Dirección de Análisis y Política Fiscal</Company>
  <LinksUpToDate>false</LinksUpToDate>
  <CharactersWithSpaces>20681</CharactersWithSpaces>
  <SharedDoc>false</SharedDoc>
  <HLinks>
    <vt:vector size="102" baseType="variant">
      <vt:variant>
        <vt:i4>1966137</vt:i4>
      </vt:variant>
      <vt:variant>
        <vt:i4>98</vt:i4>
      </vt:variant>
      <vt:variant>
        <vt:i4>0</vt:i4>
      </vt:variant>
      <vt:variant>
        <vt:i4>5</vt:i4>
      </vt:variant>
      <vt:variant>
        <vt:lpwstr/>
      </vt:variant>
      <vt:variant>
        <vt:lpwstr>_Toc71108078</vt:lpwstr>
      </vt:variant>
      <vt:variant>
        <vt:i4>1114169</vt:i4>
      </vt:variant>
      <vt:variant>
        <vt:i4>92</vt:i4>
      </vt:variant>
      <vt:variant>
        <vt:i4>0</vt:i4>
      </vt:variant>
      <vt:variant>
        <vt:i4>5</vt:i4>
      </vt:variant>
      <vt:variant>
        <vt:lpwstr/>
      </vt:variant>
      <vt:variant>
        <vt:lpwstr>_Toc71108077</vt:lpwstr>
      </vt:variant>
      <vt:variant>
        <vt:i4>1245241</vt:i4>
      </vt:variant>
      <vt:variant>
        <vt:i4>86</vt:i4>
      </vt:variant>
      <vt:variant>
        <vt:i4>0</vt:i4>
      </vt:variant>
      <vt:variant>
        <vt:i4>5</vt:i4>
      </vt:variant>
      <vt:variant>
        <vt:lpwstr/>
      </vt:variant>
      <vt:variant>
        <vt:lpwstr>_Toc71108075</vt:lpwstr>
      </vt:variant>
      <vt:variant>
        <vt:i4>1179705</vt:i4>
      </vt:variant>
      <vt:variant>
        <vt:i4>80</vt:i4>
      </vt:variant>
      <vt:variant>
        <vt:i4>0</vt:i4>
      </vt:variant>
      <vt:variant>
        <vt:i4>5</vt:i4>
      </vt:variant>
      <vt:variant>
        <vt:lpwstr/>
      </vt:variant>
      <vt:variant>
        <vt:lpwstr>_Toc71108074</vt:lpwstr>
      </vt:variant>
      <vt:variant>
        <vt:i4>1376313</vt:i4>
      </vt:variant>
      <vt:variant>
        <vt:i4>74</vt:i4>
      </vt:variant>
      <vt:variant>
        <vt:i4>0</vt:i4>
      </vt:variant>
      <vt:variant>
        <vt:i4>5</vt:i4>
      </vt:variant>
      <vt:variant>
        <vt:lpwstr/>
      </vt:variant>
      <vt:variant>
        <vt:lpwstr>_Toc71108073</vt:lpwstr>
      </vt:variant>
      <vt:variant>
        <vt:i4>1048632</vt:i4>
      </vt:variant>
      <vt:variant>
        <vt:i4>68</vt:i4>
      </vt:variant>
      <vt:variant>
        <vt:i4>0</vt:i4>
      </vt:variant>
      <vt:variant>
        <vt:i4>5</vt:i4>
      </vt:variant>
      <vt:variant>
        <vt:lpwstr/>
      </vt:variant>
      <vt:variant>
        <vt:lpwstr>_Toc71108066</vt:lpwstr>
      </vt:variant>
      <vt:variant>
        <vt:i4>1245240</vt:i4>
      </vt:variant>
      <vt:variant>
        <vt:i4>62</vt:i4>
      </vt:variant>
      <vt:variant>
        <vt:i4>0</vt:i4>
      </vt:variant>
      <vt:variant>
        <vt:i4>5</vt:i4>
      </vt:variant>
      <vt:variant>
        <vt:lpwstr/>
      </vt:variant>
      <vt:variant>
        <vt:lpwstr>_Toc71108065</vt:lpwstr>
      </vt:variant>
      <vt:variant>
        <vt:i4>1179704</vt:i4>
      </vt:variant>
      <vt:variant>
        <vt:i4>56</vt:i4>
      </vt:variant>
      <vt:variant>
        <vt:i4>0</vt:i4>
      </vt:variant>
      <vt:variant>
        <vt:i4>5</vt:i4>
      </vt:variant>
      <vt:variant>
        <vt:lpwstr/>
      </vt:variant>
      <vt:variant>
        <vt:lpwstr>_Toc71108064</vt:lpwstr>
      </vt:variant>
      <vt:variant>
        <vt:i4>1310776</vt:i4>
      </vt:variant>
      <vt:variant>
        <vt:i4>50</vt:i4>
      </vt:variant>
      <vt:variant>
        <vt:i4>0</vt:i4>
      </vt:variant>
      <vt:variant>
        <vt:i4>5</vt:i4>
      </vt:variant>
      <vt:variant>
        <vt:lpwstr/>
      </vt:variant>
      <vt:variant>
        <vt:lpwstr>_Toc71108062</vt:lpwstr>
      </vt:variant>
      <vt:variant>
        <vt:i4>1507384</vt:i4>
      </vt:variant>
      <vt:variant>
        <vt:i4>44</vt:i4>
      </vt:variant>
      <vt:variant>
        <vt:i4>0</vt:i4>
      </vt:variant>
      <vt:variant>
        <vt:i4>5</vt:i4>
      </vt:variant>
      <vt:variant>
        <vt:lpwstr/>
      </vt:variant>
      <vt:variant>
        <vt:lpwstr>_Toc71108061</vt:lpwstr>
      </vt:variant>
      <vt:variant>
        <vt:i4>2031675</vt:i4>
      </vt:variant>
      <vt:variant>
        <vt:i4>38</vt:i4>
      </vt:variant>
      <vt:variant>
        <vt:i4>0</vt:i4>
      </vt:variant>
      <vt:variant>
        <vt:i4>5</vt:i4>
      </vt:variant>
      <vt:variant>
        <vt:lpwstr/>
      </vt:variant>
      <vt:variant>
        <vt:lpwstr>_Toc71108059</vt:lpwstr>
      </vt:variant>
      <vt:variant>
        <vt:i4>1966139</vt:i4>
      </vt:variant>
      <vt:variant>
        <vt:i4>32</vt:i4>
      </vt:variant>
      <vt:variant>
        <vt:i4>0</vt:i4>
      </vt:variant>
      <vt:variant>
        <vt:i4>5</vt:i4>
      </vt:variant>
      <vt:variant>
        <vt:lpwstr/>
      </vt:variant>
      <vt:variant>
        <vt:lpwstr>_Toc71108058</vt:lpwstr>
      </vt:variant>
      <vt:variant>
        <vt:i4>1245243</vt:i4>
      </vt:variant>
      <vt:variant>
        <vt:i4>26</vt:i4>
      </vt:variant>
      <vt:variant>
        <vt:i4>0</vt:i4>
      </vt:variant>
      <vt:variant>
        <vt:i4>5</vt:i4>
      </vt:variant>
      <vt:variant>
        <vt:lpwstr/>
      </vt:variant>
      <vt:variant>
        <vt:lpwstr>_Toc71108055</vt:lpwstr>
      </vt:variant>
      <vt:variant>
        <vt:i4>1507387</vt:i4>
      </vt:variant>
      <vt:variant>
        <vt:i4>20</vt:i4>
      </vt:variant>
      <vt:variant>
        <vt:i4>0</vt:i4>
      </vt:variant>
      <vt:variant>
        <vt:i4>5</vt:i4>
      </vt:variant>
      <vt:variant>
        <vt:lpwstr/>
      </vt:variant>
      <vt:variant>
        <vt:lpwstr>_Toc71108051</vt:lpwstr>
      </vt:variant>
      <vt:variant>
        <vt:i4>1441851</vt:i4>
      </vt:variant>
      <vt:variant>
        <vt:i4>14</vt:i4>
      </vt:variant>
      <vt:variant>
        <vt:i4>0</vt:i4>
      </vt:variant>
      <vt:variant>
        <vt:i4>5</vt:i4>
      </vt:variant>
      <vt:variant>
        <vt:lpwstr/>
      </vt:variant>
      <vt:variant>
        <vt:lpwstr>_Toc71108050</vt:lpwstr>
      </vt:variant>
      <vt:variant>
        <vt:i4>2031674</vt:i4>
      </vt:variant>
      <vt:variant>
        <vt:i4>8</vt:i4>
      </vt:variant>
      <vt:variant>
        <vt:i4>0</vt:i4>
      </vt:variant>
      <vt:variant>
        <vt:i4>5</vt:i4>
      </vt:variant>
      <vt:variant>
        <vt:lpwstr/>
      </vt:variant>
      <vt:variant>
        <vt:lpwstr>_Toc71108049</vt:lpwstr>
      </vt:variant>
      <vt:variant>
        <vt:i4>1966138</vt:i4>
      </vt:variant>
      <vt:variant>
        <vt:i4>2</vt:i4>
      </vt:variant>
      <vt:variant>
        <vt:i4>0</vt:i4>
      </vt:variant>
      <vt:variant>
        <vt:i4>5</vt:i4>
      </vt:variant>
      <vt:variant>
        <vt:lpwstr/>
      </vt:variant>
      <vt:variant>
        <vt:lpwstr>_Toc71108048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las FinanzAs públicas</dc:title>
  <dc:subject>Segundo Trimestre</dc:subject>
  <dc:creator>DAPF</dc:creator>
  <cp:keywords/>
  <dc:description/>
  <cp:lastModifiedBy>Carlos Herrera</cp:lastModifiedBy>
  <cp:revision>6</cp:revision>
  <cp:lastPrinted>2023-07-28T16:05:00Z</cp:lastPrinted>
  <dcterms:created xsi:type="dcterms:W3CDTF">2023-07-28T16:05:00Z</dcterms:created>
  <dcterms:modified xsi:type="dcterms:W3CDTF">2023-07-28T16:46:00Z</dcterms:modified>
  <cp:category>Ministerio de Finanzas Públicas</cp:category>
</cp:coreProperties>
</file>